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28"/>
          <w:szCs w:val="28"/>
        </w:rPr>
      </w:pPr>
      <w:bookmarkStart w:id="42" w:name="_GoBack"/>
      <w:bookmarkEnd w:id="42"/>
      <w:r>
        <w:rPr>
          <w:rFonts w:hint="eastAsia" w:ascii="仿宋_GB2312" w:hAnsi="仿宋_GB2312" w:eastAsia="仿宋_GB2312" w:cs="仿宋_GB2312"/>
          <w:sz w:val="28"/>
          <w:szCs w:val="28"/>
        </w:rPr>
        <w:t>附件2</w:t>
      </w:r>
    </w:p>
    <w:p>
      <w:pPr>
        <w:jc w:val="center"/>
        <w:rPr>
          <w:rFonts w:hint="eastAsia" w:ascii="黑体" w:hAnsi="黑体" w:eastAsia="黑体" w:cs="黑体"/>
          <w:bCs/>
          <w:sz w:val="32"/>
          <w:szCs w:val="32"/>
        </w:rPr>
      </w:pPr>
      <w:r>
        <w:rPr>
          <w:rFonts w:hint="eastAsia" w:ascii="黑体" w:hAnsi="黑体" w:eastAsia="黑体" w:cs="黑体"/>
          <w:bCs/>
          <w:sz w:val="32"/>
          <w:szCs w:val="32"/>
        </w:rPr>
        <w:t>杭州市地方标准《智慧琴房管理和服务规范》（征求意见稿）编制说明</w:t>
      </w:r>
    </w:p>
    <w:p>
      <w:pPr>
        <w:spacing w:line="360" w:lineRule="auto"/>
        <w:rPr>
          <w:rFonts w:hint="eastAsia" w:ascii="仿宋_GB2312" w:eastAsia="仿宋_GB2312"/>
          <w:b/>
          <w:sz w:val="30"/>
          <w:szCs w:val="30"/>
        </w:rPr>
      </w:pPr>
    </w:p>
    <w:p>
      <w:pPr>
        <w:pStyle w:val="2"/>
        <w:adjustRightInd w:val="0"/>
        <w:snapToGrid w:val="0"/>
        <w:spacing w:before="156" w:beforeLines="50"/>
        <w:rPr>
          <w:rFonts w:hint="eastAsia" w:ascii="仿宋" w:hAnsi="仿宋" w:eastAsia="仿宋" w:cs="仿宋"/>
          <w:kern w:val="0"/>
          <w:sz w:val="28"/>
          <w:szCs w:val="28"/>
        </w:rPr>
      </w:pPr>
      <w:bookmarkStart w:id="0" w:name="_Toc453858429"/>
      <w:bookmarkStart w:id="1" w:name="_Toc434314337"/>
      <w:bookmarkStart w:id="2" w:name="_Toc453858532"/>
      <w:bookmarkStart w:id="3" w:name="_Toc453858761"/>
      <w:bookmarkStart w:id="4" w:name="_Toc453858711"/>
      <w:bookmarkStart w:id="5" w:name="_Toc453858687"/>
      <w:r>
        <w:rPr>
          <w:rFonts w:hint="eastAsia" w:ascii="仿宋" w:hAnsi="仿宋" w:eastAsia="仿宋" w:cs="仿宋"/>
          <w:kern w:val="0"/>
          <w:sz w:val="28"/>
          <w:szCs w:val="28"/>
        </w:rPr>
        <w:t>1. 项目背景</w:t>
      </w:r>
      <w:bookmarkEnd w:id="0"/>
      <w:bookmarkEnd w:id="1"/>
      <w:bookmarkEnd w:id="2"/>
      <w:bookmarkEnd w:id="3"/>
      <w:bookmarkEnd w:id="4"/>
      <w:bookmarkEnd w:id="5"/>
    </w:p>
    <w:p>
      <w:pPr>
        <w:widowControl/>
        <w:adjustRightInd w:val="0"/>
        <w:snapToGrid w:val="0"/>
        <w:spacing w:line="360" w:lineRule="auto"/>
        <w:ind w:firstLine="560" w:firstLineChars="200"/>
        <w:jc w:val="left"/>
        <w:rPr>
          <w:rFonts w:hint="eastAsia" w:ascii="仿宋" w:hAnsi="仿宋" w:eastAsia="仿宋" w:cs="仿宋"/>
          <w:sz w:val="28"/>
          <w:szCs w:val="28"/>
        </w:rPr>
      </w:pPr>
      <w:bookmarkStart w:id="6" w:name="_Toc453858430"/>
      <w:bookmarkStart w:id="7" w:name="_Toc453858533"/>
      <w:bookmarkStart w:id="8" w:name="_Toc453858762"/>
      <w:bookmarkStart w:id="9" w:name="_Toc453858712"/>
      <w:bookmarkStart w:id="10" w:name="_Toc453858688"/>
      <w:bookmarkStart w:id="11" w:name="_Toc434314338"/>
      <w:r>
        <w:rPr>
          <w:rFonts w:hint="eastAsia" w:ascii="仿宋" w:hAnsi="仿宋" w:eastAsia="仿宋" w:cs="仿宋"/>
          <w:sz w:val="28"/>
          <w:szCs w:val="28"/>
        </w:rPr>
        <w:t>文化是一个国家、一个民族的灵魂；文化产业的健康蓬勃发展，是繁荣文化事业、坚定文化自信的有力支撑。习近平总书记强调：“没有高度的文化自信，没有文化的繁荣兴盛，就没有中华民族伟大复兴。”中国特色社会主义进入新时代，为了满足人民过上美好生活的新期待，必须提供丰富的精神食粮。</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2021年6月，文化和旅游部印发《“十四五”文化产业发展规划》，指出，到2025年，文化产业体系和市场体系更加健全，文化产业结构布局不断优化，文化供给质量明显提升，文化消费更加活跃，文化产业规模持续壮大，文化及相关产业增加值占国内生产总值比重进一步提高，文化产业发展的综合效益显著提升，对国民经济增长的支撑和带动作用得到充分发挥；发挥高校院所作用，推动产学研用合作培养人才。</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浙江省文化产业呈现蓬勃发展态势，成为全省经济社会发展的亮点。2021年《浙江省政府工作报告》明确提出：努力打造新时代文化高地，实施新时代文化浙江工程，完善面向人民群众的公共文化服务体系，加快构建现代文化产业体系，促进满足人民文化需求和增强人民精神力量相统一，推动文化大发展大繁荣，为铸就中华文化新辉煌贡献浙江力量。这一新目标预示着浙江文化产业面临无比广阔的发展前景。高校音乐文化不仅是音乐文化的传播基地还是培育音乐专业人才的摇篮，在文化产业中发挥着积极作用。</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琴房是学校音乐教育和学生实践的重要场所。新时代学生对音乐教育的环境有着新的专业要求，需要进行量身定制的个性化教育、自我实践思考的空间、音乐学习的大数据分析等支持。琴房的管理工作是学校最基础且繁琐的日常工作之一，科学高效的琴房管理不仅是提高教师教学质量和学生学习水平的有效保障，还是体现教学管理水平的重要标志。</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目前我国对于智慧琴房的标准化建设工作尚处于起步阶段。随着时代发展学生对音乐教育的环境、场地、服务等的需求日益提升，亟需提供与需求相匹配的服务,并形成一套健全完善的琴房标准。传统的琴房管理模式中，由于人员成本偏高、管理效率偏低以及信息统计混乱，普遍存在琴房管理难度大、学生使用体验感差、服务效能低下等问题。在琴房服务分配方面，由于学生大多习惯在琴房练琴和理论学习，但是许多院校的琴房资源有限，甚至紧缺导致管理员和学生产生争执和分歧等问题。在琴房日常管理服务中规章制度的监督执行比较困难，而且在管理过程中极易出现职责与权限不明晰、处理问题滞后等现象，影响音乐教学、艺术实践的组织有效性，无法营造良好的学习氛围。</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因此，亟需研制杭州市《智慧琴房管理和服务规范》地方标准，通过规范智慧琴房的管理、服务、系统建设等要求，指导建立规范的音乐教育实践场所，满足音乐教育多层次、多样化、个性化服务标准化需求，构建浸润式音乐学习实践环境，为发展音乐教育新兴文化业态提供样本。</w:t>
      </w:r>
    </w:p>
    <w:p>
      <w:pPr>
        <w:pStyle w:val="2"/>
        <w:adjustRightInd w:val="0"/>
        <w:snapToGrid w:val="0"/>
        <w:spacing w:before="156" w:beforeLines="50"/>
        <w:rPr>
          <w:rFonts w:hint="eastAsia" w:ascii="仿宋" w:hAnsi="仿宋" w:eastAsia="仿宋" w:cs="仿宋"/>
          <w:b w:val="0"/>
          <w:color w:val="333333"/>
          <w:kern w:val="0"/>
          <w:sz w:val="28"/>
          <w:szCs w:val="28"/>
        </w:rPr>
      </w:pPr>
      <w:r>
        <w:rPr>
          <w:rFonts w:hint="eastAsia" w:ascii="仿宋" w:hAnsi="仿宋" w:eastAsia="仿宋" w:cs="仿宋"/>
          <w:kern w:val="0"/>
          <w:sz w:val="28"/>
          <w:szCs w:val="28"/>
        </w:rPr>
        <w:t>2. 工作</w:t>
      </w:r>
      <w:bookmarkEnd w:id="6"/>
      <w:bookmarkEnd w:id="7"/>
      <w:bookmarkEnd w:id="8"/>
      <w:bookmarkEnd w:id="9"/>
      <w:bookmarkEnd w:id="10"/>
      <w:bookmarkEnd w:id="11"/>
      <w:r>
        <w:rPr>
          <w:rFonts w:hint="eastAsia" w:ascii="仿宋" w:hAnsi="仿宋" w:eastAsia="仿宋" w:cs="仿宋"/>
          <w:kern w:val="0"/>
          <w:sz w:val="28"/>
          <w:szCs w:val="28"/>
        </w:rPr>
        <w:t>简况</w:t>
      </w:r>
      <w:r>
        <w:rPr>
          <w:rFonts w:hint="eastAsia" w:ascii="仿宋" w:hAnsi="仿宋" w:eastAsia="仿宋" w:cs="仿宋"/>
          <w:b w:val="0"/>
          <w:color w:val="333333"/>
          <w:kern w:val="0"/>
          <w:sz w:val="28"/>
          <w:szCs w:val="28"/>
        </w:rPr>
        <w:tab/>
      </w: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2.1 立项计划</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2020年8月31日，杭州市市场监督管理局《关于下达2020年度第二批杭州市标准化建设项目计划的通知》（杭市管〔2020〕120号），《智慧琴房管理和服务规范》列入杭州市地方标准制修订计划。</w:t>
      </w: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2.2 起草单位</w:t>
      </w:r>
    </w:p>
    <w:p>
      <w:pPr>
        <w:widowControl/>
        <w:adjustRightInd w:val="0"/>
        <w:snapToGrid w:val="0"/>
        <w:spacing w:line="360" w:lineRule="auto"/>
        <w:ind w:firstLine="560" w:firstLineChars="200"/>
        <w:jc w:val="left"/>
        <w:rPr>
          <w:rFonts w:hint="eastAsia" w:ascii="仿宋" w:hAnsi="仿宋" w:eastAsia="仿宋" w:cs="仿宋"/>
          <w:b/>
          <w:bCs/>
          <w:color w:val="333333"/>
          <w:kern w:val="0"/>
          <w:sz w:val="28"/>
          <w:szCs w:val="28"/>
        </w:rPr>
      </w:pPr>
      <w:r>
        <w:rPr>
          <w:rFonts w:hint="eastAsia" w:ascii="仿宋" w:hAnsi="仿宋" w:eastAsia="仿宋" w:cs="仿宋"/>
          <w:sz w:val="28"/>
          <w:szCs w:val="28"/>
        </w:rPr>
        <w:t>本标准主要起草单位：浙江音乐学院、杭州华尔科技有限公司。</w:t>
      </w: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2.3主要工作过程</w:t>
      </w:r>
    </w:p>
    <w:p>
      <w:pPr>
        <w:widowControl/>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2.3.1明确标准起草人员和工作计划</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2020年10月，组建标准起草小组，由浙江音乐学院、杭州华尔科技有限公司组成，起草单位各派出若干名起草人员，明确各参与单位或人员职责分工、研制计划、时间进度安排等情况。</w:t>
      </w:r>
    </w:p>
    <w:p>
      <w:pPr>
        <w:widowControl/>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2.3.2起草标准初稿</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2021年3月—2021年5月，起草小组先后赴浙江艺术职业学院、浙江传媒学院、上海音乐学院、中央音乐学院等高校实地调研、座谈，深入了解智慧琴房工作推进情况及实践经验。</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起草小组经过多次座谈、研讨后，明确了标准的主要框架，确定了标准的主要内容，形成标准草案（第一版）。</w:t>
      </w:r>
    </w:p>
    <w:p>
      <w:pPr>
        <w:widowControl/>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2.3.3修改标准稿</w:t>
      </w:r>
    </w:p>
    <w:p>
      <w:pPr>
        <w:widowControl/>
        <w:adjustRightInd w:val="0"/>
        <w:snapToGrid w:val="0"/>
        <w:spacing w:line="360" w:lineRule="auto"/>
        <w:ind w:firstLine="560" w:firstLineChars="200"/>
        <w:jc w:val="left"/>
        <w:rPr>
          <w:rFonts w:hint="eastAsia" w:ascii="仿宋" w:hAnsi="仿宋" w:eastAsia="仿宋" w:cs="仿宋"/>
          <w:sz w:val="28"/>
          <w:szCs w:val="28"/>
        </w:rPr>
      </w:pPr>
      <w:bookmarkStart w:id="12" w:name="_Toc453858713"/>
      <w:bookmarkStart w:id="13" w:name="_Toc434314339"/>
      <w:bookmarkStart w:id="14" w:name="_Toc453858534"/>
      <w:bookmarkStart w:id="15" w:name="_Toc453858431"/>
      <w:bookmarkStart w:id="16" w:name="_Toc453858763"/>
      <w:bookmarkStart w:id="17" w:name="_Toc453858689"/>
      <w:r>
        <w:rPr>
          <w:rFonts w:hint="eastAsia" w:ascii="仿宋" w:hAnsi="仿宋" w:eastAsia="仿宋" w:cs="仿宋"/>
          <w:sz w:val="28"/>
          <w:szCs w:val="28"/>
        </w:rPr>
        <w:t>本标准共进行了3次大的修改：</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2021年6月9日，起草小组召开第一次标准草案研讨会，主要提出以下修改内容：进一步明确ICS和CCS号</w:t>
      </w:r>
      <w:r>
        <w:rPr>
          <w:rFonts w:hint="eastAsia"/>
        </w:rPr>
        <w:t>；</w:t>
      </w:r>
      <w:r>
        <w:rPr>
          <w:rFonts w:hint="eastAsia" w:ascii="仿宋" w:hAnsi="仿宋" w:eastAsia="仿宋" w:cs="仿宋"/>
          <w:sz w:val="28"/>
          <w:szCs w:val="28"/>
        </w:rPr>
        <w:t>给出标准英文名称；给出“智慧琴房”定义，修改形成标准草案（第二版）。</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2021年8月19日，起草小组召开第二次标准草案研讨会，主要提出以下修改内容：根据GB/T 1.1—2020《标准化工作导则  第1部分：标准化文件的机构和起草规则》对标准格式进行修改；适用范围增加“其他智慧琴房可参照使用”，修改形成标准草案（第三版）</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2021年10月25日，起草小组与中国音乐学院教授一起座谈交流标准内容，提出服务内容中增加“维修服务”板块，设施设备中增加“琴房允许声级”的内容，修改形成《智慧琴房管理和服务规范》标准征求意见稿</w:t>
      </w:r>
    </w:p>
    <w:p>
      <w:pPr>
        <w:pStyle w:val="2"/>
        <w:adjustRightInd w:val="0"/>
        <w:snapToGrid w:val="0"/>
        <w:spacing w:before="156" w:beforeLines="50"/>
        <w:rPr>
          <w:rFonts w:ascii="仿宋" w:hAnsi="仿宋" w:eastAsia="仿宋" w:cs="仿宋"/>
          <w:kern w:val="0"/>
          <w:sz w:val="28"/>
          <w:szCs w:val="28"/>
        </w:rPr>
      </w:pPr>
      <w:r>
        <w:rPr>
          <w:rFonts w:hint="eastAsia" w:ascii="仿宋" w:hAnsi="仿宋" w:eastAsia="仿宋" w:cs="仿宋"/>
          <w:kern w:val="0"/>
          <w:sz w:val="28"/>
          <w:szCs w:val="28"/>
        </w:rPr>
        <w:t>2.4 主要起草人及其所做的工作</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 w:hAnsi="仿宋" w:eastAsia="仿宋" w:cs="仿宋"/>
          <w:sz w:val="28"/>
          <w:szCs w:val="28"/>
        </w:rPr>
        <w:t>本标准主要起草人：王国华、李旭芳、吴晓阳、杨文君、豆乃强、葛万龙、黄清海、杨华。</w:t>
      </w:r>
      <w:r>
        <w:rPr>
          <w:rFonts w:hint="eastAsia" w:ascii="仿宋_GB2312" w:hAnsi="仿宋_GB2312" w:eastAsia="仿宋_GB2312" w:cs="仿宋_GB2312"/>
          <w:sz w:val="28"/>
        </w:rPr>
        <w:t>主要起草人的分工见下表。</w:t>
      </w:r>
    </w:p>
    <w:p>
      <w:pPr>
        <w:ind w:firstLine="2530" w:firstLineChars="900"/>
        <w:rPr>
          <w:rFonts w:hint="eastAsia" w:ascii="仿宋" w:hAnsi="仿宋" w:eastAsia="仿宋" w:cs="仿宋_GB2312"/>
          <w:b/>
          <w:bCs/>
          <w:sz w:val="28"/>
          <w:szCs w:val="28"/>
        </w:rPr>
      </w:pPr>
      <w:r>
        <w:rPr>
          <w:rFonts w:hint="eastAsia" w:ascii="仿宋" w:hAnsi="仿宋" w:eastAsia="仿宋" w:cs="仿宋_GB2312"/>
          <w:b/>
          <w:bCs/>
          <w:sz w:val="28"/>
          <w:szCs w:val="28"/>
        </w:rPr>
        <w:t>表1.主要起草人分工表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120"/>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top"/>
          </w:tcPr>
          <w:p>
            <w:pPr>
              <w:jc w:val="center"/>
              <w:rPr>
                <w:rFonts w:ascii="仿宋" w:hAnsi="仿宋" w:eastAsia="仿宋" w:cs="仿宋_GB2312"/>
                <w:b/>
                <w:bCs/>
                <w:sz w:val="28"/>
                <w:szCs w:val="28"/>
              </w:rPr>
            </w:pPr>
            <w:r>
              <w:rPr>
                <w:rFonts w:hint="eastAsia" w:ascii="仿宋" w:hAnsi="仿宋" w:eastAsia="仿宋" w:cs="仿宋_GB2312"/>
                <w:b/>
                <w:bCs/>
                <w:sz w:val="28"/>
                <w:szCs w:val="28"/>
              </w:rPr>
              <w:t>排序</w:t>
            </w:r>
          </w:p>
        </w:tc>
        <w:tc>
          <w:tcPr>
            <w:tcW w:w="1120" w:type="dxa"/>
            <w:noWrap w:val="0"/>
            <w:vAlign w:val="top"/>
          </w:tcPr>
          <w:p>
            <w:pPr>
              <w:jc w:val="center"/>
              <w:rPr>
                <w:rFonts w:ascii="仿宋" w:hAnsi="仿宋" w:eastAsia="仿宋" w:cs="仿宋_GB2312"/>
                <w:b/>
                <w:bCs/>
                <w:sz w:val="28"/>
                <w:szCs w:val="28"/>
              </w:rPr>
            </w:pPr>
            <w:r>
              <w:rPr>
                <w:rFonts w:hint="eastAsia" w:ascii="仿宋" w:hAnsi="仿宋" w:eastAsia="仿宋" w:cs="仿宋_GB2312"/>
                <w:b/>
                <w:bCs/>
                <w:sz w:val="28"/>
                <w:szCs w:val="28"/>
              </w:rPr>
              <w:t>姓名</w:t>
            </w:r>
          </w:p>
        </w:tc>
        <w:tc>
          <w:tcPr>
            <w:tcW w:w="6369" w:type="dxa"/>
            <w:noWrap w:val="0"/>
            <w:vAlign w:val="top"/>
          </w:tcPr>
          <w:p>
            <w:pPr>
              <w:jc w:val="center"/>
              <w:rPr>
                <w:rFonts w:ascii="仿宋" w:hAnsi="仿宋" w:eastAsia="仿宋" w:cs="仿宋_GB2312"/>
                <w:b/>
                <w:bCs/>
                <w:sz w:val="28"/>
                <w:szCs w:val="28"/>
              </w:rPr>
            </w:pPr>
            <w:r>
              <w:rPr>
                <w:rFonts w:hint="eastAsia" w:ascii="仿宋" w:hAnsi="仿宋" w:eastAsia="仿宋" w:cs="仿宋_GB2312"/>
                <w:b/>
                <w:bCs/>
                <w:sz w:val="28"/>
                <w:szCs w:val="28"/>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1</w:t>
            </w:r>
          </w:p>
        </w:tc>
        <w:tc>
          <w:tcPr>
            <w:tcW w:w="1120" w:type="dxa"/>
            <w:noWrap w:val="0"/>
            <w:vAlign w:val="center"/>
          </w:tcPr>
          <w:p>
            <w:pPr>
              <w:jc w:val="center"/>
              <w:rPr>
                <w:rFonts w:ascii="仿宋" w:hAnsi="仿宋" w:eastAsia="仿宋" w:cs="仿宋_GB2312"/>
                <w:sz w:val="28"/>
                <w:szCs w:val="28"/>
              </w:rPr>
            </w:pPr>
            <w:r>
              <w:rPr>
                <w:rFonts w:hint="eastAsia" w:ascii="仿宋" w:hAnsi="仿宋" w:eastAsia="仿宋" w:cs="仿宋"/>
                <w:sz w:val="28"/>
                <w:szCs w:val="28"/>
              </w:rPr>
              <w:t>王国华</w:t>
            </w:r>
          </w:p>
        </w:tc>
        <w:tc>
          <w:tcPr>
            <w:tcW w:w="6369" w:type="dxa"/>
            <w:noWrap w:val="0"/>
            <w:vAlign w:val="top"/>
          </w:tcPr>
          <w:p>
            <w:pPr>
              <w:spacing w:line="0" w:lineRule="atLeast"/>
              <w:rPr>
                <w:rFonts w:ascii="仿宋" w:hAnsi="仿宋" w:eastAsia="仿宋" w:cs="仿宋_GB2312"/>
                <w:sz w:val="28"/>
                <w:szCs w:val="28"/>
              </w:rPr>
            </w:pPr>
            <w:r>
              <w:rPr>
                <w:rFonts w:hint="eastAsia" w:ascii="仿宋" w:hAnsi="仿宋" w:eastAsia="仿宋" w:cs="仿宋_GB2312"/>
                <w:sz w:val="28"/>
                <w:szCs w:val="28"/>
              </w:rPr>
              <w:t>总负责人：负责起草人员的组成，项目申请、起草编写编制说明及标准的</w:t>
            </w:r>
            <w:r>
              <w:rPr>
                <w:rFonts w:hint="eastAsia" w:ascii="仿宋" w:hAnsi="仿宋" w:eastAsia="仿宋"/>
                <w:sz w:val="28"/>
                <w:szCs w:val="28"/>
              </w:rPr>
              <w:t>征求意见稿、</w:t>
            </w:r>
            <w:r>
              <w:rPr>
                <w:rFonts w:hint="eastAsia" w:ascii="仿宋" w:hAnsi="仿宋" w:eastAsia="仿宋" w:cs="仿宋_GB2312"/>
                <w:sz w:val="28"/>
                <w:szCs w:val="28"/>
              </w:rPr>
              <w:t>修改</w:t>
            </w:r>
            <w:r>
              <w:rPr>
                <w:rFonts w:hint="eastAsia" w:ascii="仿宋" w:hAnsi="仿宋" w:eastAsia="仿宋"/>
                <w:sz w:val="28"/>
                <w:szCs w:val="28"/>
              </w:rPr>
              <w:t>送审稿、</w:t>
            </w:r>
            <w:r>
              <w:rPr>
                <w:rFonts w:hint="eastAsia" w:ascii="仿宋" w:hAnsi="仿宋" w:eastAsia="仿宋" w:cs="仿宋_GB2312"/>
                <w:sz w:val="28"/>
                <w:szCs w:val="28"/>
              </w:rPr>
              <w:t>修改</w:t>
            </w:r>
            <w:r>
              <w:rPr>
                <w:rFonts w:hint="eastAsia" w:ascii="仿宋" w:hAnsi="仿宋" w:eastAsia="仿宋"/>
                <w:sz w:val="28"/>
                <w:szCs w:val="28"/>
              </w:rPr>
              <w:t>报批稿等全过程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2</w:t>
            </w:r>
          </w:p>
        </w:tc>
        <w:tc>
          <w:tcPr>
            <w:tcW w:w="1120" w:type="dxa"/>
            <w:noWrap w:val="0"/>
            <w:vAlign w:val="center"/>
          </w:tcPr>
          <w:p>
            <w:pPr>
              <w:jc w:val="center"/>
              <w:rPr>
                <w:rFonts w:ascii="仿宋" w:hAnsi="仿宋" w:eastAsia="仿宋" w:cs="仿宋_GB2312"/>
                <w:sz w:val="28"/>
                <w:szCs w:val="28"/>
              </w:rPr>
            </w:pPr>
            <w:r>
              <w:rPr>
                <w:rFonts w:hint="eastAsia" w:ascii="仿宋" w:hAnsi="仿宋" w:eastAsia="仿宋" w:cs="仿宋"/>
                <w:sz w:val="28"/>
                <w:szCs w:val="28"/>
              </w:rPr>
              <w:t>李旭芳</w:t>
            </w:r>
          </w:p>
        </w:tc>
        <w:tc>
          <w:tcPr>
            <w:tcW w:w="6369" w:type="dxa"/>
            <w:noWrap w:val="0"/>
            <w:vAlign w:val="top"/>
          </w:tcPr>
          <w:p>
            <w:pPr>
              <w:spacing w:line="0" w:lineRule="atLeast"/>
              <w:rPr>
                <w:rFonts w:ascii="仿宋" w:hAnsi="仿宋" w:eastAsia="仿宋" w:cs="仿宋_GB2312"/>
                <w:sz w:val="28"/>
                <w:szCs w:val="28"/>
              </w:rPr>
            </w:pPr>
            <w:r>
              <w:rPr>
                <w:rFonts w:hint="eastAsia" w:ascii="仿宋" w:hAnsi="仿宋" w:eastAsia="仿宋" w:cs="仿宋_GB2312"/>
                <w:sz w:val="28"/>
                <w:szCs w:val="28"/>
              </w:rPr>
              <w:t>负责编制过程的协调，与省文化和旅游厅、市市场监管局的沟通等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3</w:t>
            </w:r>
          </w:p>
        </w:tc>
        <w:tc>
          <w:tcPr>
            <w:tcW w:w="1120" w:type="dxa"/>
            <w:noWrap w:val="0"/>
            <w:vAlign w:val="center"/>
          </w:tcPr>
          <w:p>
            <w:pPr>
              <w:jc w:val="center"/>
              <w:rPr>
                <w:rFonts w:ascii="仿宋" w:hAnsi="仿宋" w:eastAsia="仿宋" w:cs="仿宋_GB2312"/>
                <w:sz w:val="28"/>
                <w:szCs w:val="28"/>
              </w:rPr>
            </w:pPr>
            <w:r>
              <w:rPr>
                <w:rFonts w:hint="eastAsia" w:ascii="仿宋" w:hAnsi="仿宋" w:eastAsia="仿宋" w:cs="仿宋"/>
                <w:sz w:val="28"/>
                <w:szCs w:val="28"/>
              </w:rPr>
              <w:t>吴晓阳</w:t>
            </w:r>
          </w:p>
        </w:tc>
        <w:tc>
          <w:tcPr>
            <w:tcW w:w="6369" w:type="dxa"/>
            <w:noWrap w:val="0"/>
            <w:vAlign w:val="top"/>
          </w:tcPr>
          <w:p>
            <w:pPr>
              <w:spacing w:line="0" w:lineRule="atLeast"/>
              <w:rPr>
                <w:rFonts w:ascii="仿宋" w:hAnsi="仿宋" w:eastAsia="仿宋" w:cs="仿宋_GB2312"/>
                <w:sz w:val="28"/>
                <w:szCs w:val="28"/>
              </w:rPr>
            </w:pPr>
            <w:r>
              <w:rPr>
                <w:rFonts w:hint="eastAsia" w:ascii="仿宋" w:hAnsi="仿宋" w:eastAsia="仿宋" w:cs="仿宋_GB2312"/>
                <w:sz w:val="28"/>
                <w:szCs w:val="28"/>
              </w:rPr>
              <w:t>组织协调立项、征求意见稿、送审稿、报批稿各个阶段的专家讨论及评审会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4</w:t>
            </w:r>
          </w:p>
        </w:tc>
        <w:tc>
          <w:tcPr>
            <w:tcW w:w="1120" w:type="dxa"/>
            <w:noWrap w:val="0"/>
            <w:vAlign w:val="center"/>
          </w:tcPr>
          <w:p>
            <w:pPr>
              <w:jc w:val="center"/>
              <w:rPr>
                <w:rFonts w:ascii="仿宋" w:hAnsi="仿宋" w:eastAsia="仿宋" w:cs="仿宋_GB2312"/>
                <w:sz w:val="28"/>
                <w:szCs w:val="28"/>
              </w:rPr>
            </w:pPr>
            <w:r>
              <w:rPr>
                <w:rFonts w:hint="eastAsia" w:ascii="仿宋" w:hAnsi="仿宋" w:eastAsia="仿宋" w:cs="仿宋"/>
                <w:sz w:val="28"/>
                <w:szCs w:val="28"/>
              </w:rPr>
              <w:t>杨文君</w:t>
            </w:r>
          </w:p>
        </w:tc>
        <w:tc>
          <w:tcPr>
            <w:tcW w:w="6369" w:type="dxa"/>
            <w:noWrap w:val="0"/>
            <w:vAlign w:val="top"/>
          </w:tcPr>
          <w:p>
            <w:pPr>
              <w:spacing w:line="0" w:lineRule="atLeast"/>
              <w:rPr>
                <w:rFonts w:ascii="仿宋" w:hAnsi="仿宋" w:eastAsia="仿宋" w:cs="仿宋_GB2312"/>
                <w:sz w:val="28"/>
                <w:szCs w:val="28"/>
              </w:rPr>
            </w:pPr>
            <w:r>
              <w:rPr>
                <w:rFonts w:hint="eastAsia" w:ascii="仿宋" w:hAnsi="仿宋" w:eastAsia="仿宋" w:cs="仿宋_GB2312"/>
                <w:sz w:val="28"/>
                <w:szCs w:val="28"/>
              </w:rPr>
              <w:t>参与标准编制的研讨，负责系统架构内容，组织单位成员对征求意见稿的意见收集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center"/>
          </w:tcPr>
          <w:p>
            <w:pPr>
              <w:jc w:val="center"/>
              <w:rPr>
                <w:rFonts w:hint="eastAsia" w:ascii="仿宋" w:hAnsi="仿宋" w:eastAsia="仿宋" w:cs="仿宋_GB2312"/>
                <w:sz w:val="28"/>
                <w:szCs w:val="28"/>
              </w:rPr>
            </w:pPr>
            <w:r>
              <w:rPr>
                <w:rFonts w:hint="eastAsia" w:ascii="仿宋" w:hAnsi="仿宋" w:eastAsia="仿宋" w:cs="仿宋_GB2312"/>
                <w:sz w:val="28"/>
                <w:szCs w:val="28"/>
              </w:rPr>
              <w:t>5</w:t>
            </w:r>
          </w:p>
        </w:tc>
        <w:tc>
          <w:tcPr>
            <w:tcW w:w="1120" w:type="dxa"/>
            <w:noWrap w:val="0"/>
            <w:vAlign w:val="center"/>
          </w:tcPr>
          <w:p>
            <w:pPr>
              <w:jc w:val="center"/>
              <w:rPr>
                <w:rFonts w:ascii="仿宋" w:hAnsi="仿宋" w:eastAsia="仿宋" w:cs="仿宋_GB2312"/>
                <w:sz w:val="28"/>
                <w:szCs w:val="28"/>
              </w:rPr>
            </w:pPr>
            <w:r>
              <w:rPr>
                <w:rFonts w:hint="eastAsia" w:ascii="仿宋" w:hAnsi="仿宋" w:eastAsia="仿宋" w:cs="仿宋"/>
                <w:sz w:val="28"/>
                <w:szCs w:val="28"/>
              </w:rPr>
              <w:t>豆乃强</w:t>
            </w:r>
          </w:p>
        </w:tc>
        <w:tc>
          <w:tcPr>
            <w:tcW w:w="6369" w:type="dxa"/>
            <w:noWrap w:val="0"/>
            <w:vAlign w:val="top"/>
          </w:tcPr>
          <w:p>
            <w:pPr>
              <w:spacing w:line="0" w:lineRule="atLeast"/>
              <w:rPr>
                <w:rFonts w:ascii="仿宋" w:hAnsi="仿宋" w:eastAsia="仿宋" w:cs="仿宋_GB2312"/>
                <w:sz w:val="28"/>
                <w:szCs w:val="28"/>
              </w:rPr>
            </w:pPr>
            <w:r>
              <w:rPr>
                <w:rFonts w:hint="eastAsia" w:ascii="仿宋" w:hAnsi="仿宋" w:eastAsia="仿宋" w:cs="仿宋_GB2312"/>
                <w:sz w:val="28"/>
                <w:szCs w:val="28"/>
              </w:rPr>
              <w:t>修改本标准的书写标准格式的制定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6</w:t>
            </w:r>
          </w:p>
        </w:tc>
        <w:tc>
          <w:tcPr>
            <w:tcW w:w="1120" w:type="dxa"/>
            <w:noWrap w:val="0"/>
            <w:vAlign w:val="center"/>
          </w:tcPr>
          <w:p>
            <w:pPr>
              <w:jc w:val="center"/>
              <w:rPr>
                <w:rFonts w:ascii="仿宋" w:hAnsi="仿宋" w:eastAsia="仿宋" w:cs="仿宋_GB2312"/>
                <w:sz w:val="28"/>
                <w:szCs w:val="28"/>
              </w:rPr>
            </w:pPr>
            <w:r>
              <w:rPr>
                <w:rFonts w:hint="eastAsia" w:ascii="仿宋" w:hAnsi="仿宋" w:eastAsia="仿宋" w:cs="仿宋"/>
                <w:sz w:val="28"/>
                <w:szCs w:val="28"/>
              </w:rPr>
              <w:t>葛万龙</w:t>
            </w:r>
          </w:p>
        </w:tc>
        <w:tc>
          <w:tcPr>
            <w:tcW w:w="6369" w:type="dxa"/>
            <w:noWrap w:val="0"/>
            <w:vAlign w:val="top"/>
          </w:tcPr>
          <w:p>
            <w:pPr>
              <w:spacing w:line="0" w:lineRule="atLeast"/>
              <w:rPr>
                <w:rFonts w:ascii="仿宋" w:hAnsi="仿宋" w:eastAsia="仿宋" w:cs="仿宋_GB2312"/>
                <w:sz w:val="28"/>
                <w:szCs w:val="28"/>
              </w:rPr>
            </w:pPr>
            <w:r>
              <w:rPr>
                <w:rFonts w:hint="eastAsia" w:ascii="仿宋" w:hAnsi="仿宋" w:eastAsia="仿宋" w:cs="仿宋_GB2312"/>
                <w:sz w:val="28"/>
                <w:szCs w:val="28"/>
              </w:rPr>
              <w:t>修改本标准的书写标准格式的制定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7</w:t>
            </w:r>
          </w:p>
        </w:tc>
        <w:tc>
          <w:tcPr>
            <w:tcW w:w="1120" w:type="dxa"/>
            <w:noWrap w:val="0"/>
            <w:vAlign w:val="center"/>
          </w:tcPr>
          <w:p>
            <w:pPr>
              <w:jc w:val="center"/>
              <w:rPr>
                <w:rFonts w:ascii="仿宋" w:hAnsi="仿宋" w:eastAsia="仿宋" w:cs="仿宋_GB2312"/>
                <w:sz w:val="28"/>
                <w:szCs w:val="28"/>
              </w:rPr>
            </w:pPr>
            <w:r>
              <w:rPr>
                <w:rFonts w:hint="eastAsia" w:ascii="仿宋" w:hAnsi="仿宋" w:eastAsia="仿宋" w:cs="仿宋"/>
                <w:sz w:val="28"/>
                <w:szCs w:val="28"/>
              </w:rPr>
              <w:t>黄清海</w:t>
            </w:r>
          </w:p>
        </w:tc>
        <w:tc>
          <w:tcPr>
            <w:tcW w:w="6369" w:type="dxa"/>
            <w:noWrap w:val="0"/>
            <w:vAlign w:val="top"/>
          </w:tcPr>
          <w:p>
            <w:pPr>
              <w:spacing w:line="0" w:lineRule="atLeast"/>
              <w:rPr>
                <w:rFonts w:ascii="仿宋" w:hAnsi="仿宋" w:eastAsia="仿宋" w:cs="仿宋_GB2312"/>
                <w:sz w:val="28"/>
                <w:szCs w:val="28"/>
              </w:rPr>
            </w:pPr>
            <w:r>
              <w:rPr>
                <w:rFonts w:hint="eastAsia" w:ascii="仿宋" w:hAnsi="仿宋" w:eastAsia="仿宋" w:cs="仿宋_GB2312"/>
                <w:sz w:val="28"/>
                <w:szCs w:val="28"/>
              </w:rPr>
              <w:t>参与标准编制的研讨，组织单位成员对征求意见稿的意见收集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84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8</w:t>
            </w:r>
          </w:p>
        </w:tc>
        <w:tc>
          <w:tcPr>
            <w:tcW w:w="1120" w:type="dxa"/>
            <w:noWrap w:val="0"/>
            <w:vAlign w:val="center"/>
          </w:tcPr>
          <w:p>
            <w:pPr>
              <w:jc w:val="center"/>
              <w:rPr>
                <w:rFonts w:ascii="仿宋" w:hAnsi="仿宋" w:eastAsia="仿宋" w:cs="仿宋_GB2312"/>
                <w:sz w:val="28"/>
                <w:szCs w:val="28"/>
              </w:rPr>
            </w:pPr>
            <w:r>
              <w:rPr>
                <w:rFonts w:hint="eastAsia" w:ascii="仿宋" w:hAnsi="仿宋" w:eastAsia="仿宋" w:cs="仿宋"/>
                <w:sz w:val="28"/>
                <w:szCs w:val="28"/>
              </w:rPr>
              <w:t>杨华</w:t>
            </w:r>
          </w:p>
        </w:tc>
        <w:tc>
          <w:tcPr>
            <w:tcW w:w="6369" w:type="dxa"/>
            <w:noWrap w:val="0"/>
            <w:vAlign w:val="top"/>
          </w:tcPr>
          <w:p>
            <w:pPr>
              <w:spacing w:line="0" w:lineRule="atLeast"/>
              <w:rPr>
                <w:rFonts w:ascii="仿宋" w:hAnsi="仿宋" w:eastAsia="仿宋" w:cs="仿宋_GB2312"/>
                <w:sz w:val="28"/>
                <w:szCs w:val="28"/>
              </w:rPr>
            </w:pPr>
            <w:r>
              <w:rPr>
                <w:rFonts w:hint="eastAsia" w:ascii="仿宋" w:hAnsi="仿宋" w:eastAsia="仿宋" w:cs="仿宋_GB2312"/>
                <w:sz w:val="28"/>
                <w:szCs w:val="28"/>
              </w:rPr>
              <w:t>参与标准编制的研讨，组织单位成员对征求意见稿的意见收集</w:t>
            </w:r>
          </w:p>
        </w:tc>
      </w:tr>
    </w:tbl>
    <w:p>
      <w:pPr>
        <w:widowControl/>
        <w:adjustRightInd w:val="0"/>
        <w:snapToGrid w:val="0"/>
        <w:spacing w:line="360" w:lineRule="auto"/>
        <w:jc w:val="left"/>
        <w:rPr>
          <w:rFonts w:hint="eastAsia" w:ascii="仿宋" w:hAnsi="仿宋" w:eastAsia="仿宋" w:cs="仿宋"/>
          <w:sz w:val="28"/>
          <w:szCs w:val="28"/>
        </w:rPr>
      </w:pP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3．标准编制原则和</w:t>
      </w:r>
      <w:bookmarkEnd w:id="12"/>
      <w:bookmarkEnd w:id="13"/>
      <w:bookmarkEnd w:id="14"/>
      <w:bookmarkEnd w:id="15"/>
      <w:bookmarkEnd w:id="16"/>
      <w:bookmarkEnd w:id="17"/>
      <w:r>
        <w:rPr>
          <w:rFonts w:hint="eastAsia" w:ascii="仿宋" w:hAnsi="仿宋" w:eastAsia="仿宋" w:cs="仿宋"/>
          <w:kern w:val="0"/>
          <w:sz w:val="28"/>
          <w:szCs w:val="28"/>
        </w:rPr>
        <w:t>确定地方标准主要技术要求的依据</w:t>
      </w:r>
    </w:p>
    <w:p>
      <w:pPr>
        <w:widowControl/>
        <w:adjustRightInd w:val="0"/>
        <w:snapToGrid w:val="0"/>
        <w:spacing w:line="360" w:lineRule="auto"/>
        <w:jc w:val="left"/>
        <w:rPr>
          <w:rFonts w:hint="eastAsia" w:ascii="仿宋" w:hAnsi="仿宋" w:eastAsia="仿宋" w:cs="仿宋"/>
          <w:kern w:val="0"/>
          <w:sz w:val="28"/>
          <w:szCs w:val="28"/>
        </w:rPr>
      </w:pPr>
      <w:r>
        <w:rPr>
          <w:rFonts w:hint="eastAsia" w:ascii="仿宋" w:hAnsi="仿宋" w:eastAsia="仿宋" w:cs="仿宋"/>
          <w:b/>
          <w:bCs/>
          <w:kern w:val="0"/>
          <w:sz w:val="28"/>
          <w:szCs w:val="28"/>
        </w:rPr>
        <w:t>3.1 标准编制原则</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（1）导向性原则</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制定的标准，遵循国家、省相关政策意见，结合实际工作中存在的问题和特点，对智慧琴房管理和服务工作起到正确的引导作用，使其朝标准化、正规化方向发展。</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（2）完整性原则</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制定的标准，全面地、系统地反映智慧琴房的管理、系统构建、服务等工作要领。</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（3）协调性原则</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制定的标准，与相关的标准之间互相衔接，协调一致，和谐相容，不互相矛盾。</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（4）简明性原则</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制定的标准，内容简洁明了，层次合理清晰，语词精炼准确。</w:t>
      </w:r>
    </w:p>
    <w:p>
      <w:pPr>
        <w:widowControl/>
        <w:adjustRightInd w:val="0"/>
        <w:snapToGrid w:val="0"/>
        <w:spacing w:line="360" w:lineRule="auto"/>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3.2主要技术要求的依据</w:t>
      </w:r>
    </w:p>
    <w:p>
      <w:pPr>
        <w:widowControl/>
        <w:adjustRightInd w:val="0"/>
        <w:snapToGrid w:val="0"/>
        <w:spacing w:line="360" w:lineRule="auto"/>
        <w:ind w:firstLine="560" w:firstLineChars="200"/>
        <w:jc w:val="left"/>
        <w:rPr>
          <w:rFonts w:hint="eastAsia" w:ascii="仿宋" w:hAnsi="仿宋" w:eastAsia="仿宋" w:cs="仿宋"/>
          <w:sz w:val="28"/>
          <w:szCs w:val="28"/>
        </w:rPr>
      </w:pPr>
      <w:bookmarkStart w:id="18" w:name="_Toc434314341"/>
      <w:bookmarkStart w:id="19" w:name="_Toc453858765"/>
      <w:bookmarkStart w:id="20" w:name="_Toc453858691"/>
      <w:bookmarkStart w:id="21" w:name="_Toc453858715"/>
      <w:bookmarkStart w:id="22" w:name="_Toc453858547"/>
      <w:bookmarkStart w:id="23" w:name="_Toc453858444"/>
      <w:r>
        <w:rPr>
          <w:rFonts w:hint="eastAsia" w:ascii="仿宋" w:hAnsi="仿宋" w:eastAsia="仿宋" w:cs="仿宋"/>
          <w:sz w:val="28"/>
          <w:szCs w:val="28"/>
        </w:rPr>
        <w:t>《智慧琴房管理和服务规范》在制定过程中，遵循我国《标准化法》、《地方标准管理办法》和《浙江省标准化条例》有关规定要求，认真总结提炼智慧琴房管理和服务经验做法，规定了智慧琴房的管理要求、系统要求、服务要求、评价与改进等内容，标准框架如下：</w:t>
      </w:r>
    </w:p>
    <w:p>
      <w:pPr>
        <w:widowControl/>
        <w:adjustRightInd w:val="0"/>
        <w:snapToGrid w:val="0"/>
        <w:spacing w:line="360" w:lineRule="auto"/>
        <w:jc w:val="left"/>
        <w:rPr>
          <w:rFonts w:hint="eastAsia" w:ascii="仿宋" w:hAnsi="仿宋" w:eastAsia="仿宋" w:cs="仿宋"/>
          <w:sz w:val="28"/>
          <w:szCs w:val="28"/>
        </w:rPr>
      </w:pPr>
      <w:r>
        <w:rPr>
          <w:rFonts w:ascii="仿宋" w:hAnsi="仿宋" w:eastAsia="仿宋" w:cs="仿宋"/>
          <w:sz w:val="28"/>
          <w:szCs w:val="28"/>
        </w:rPr>
        <w:drawing>
          <wp:inline distT="0" distB="0" distL="114300" distR="114300">
            <wp:extent cx="5240020" cy="3180715"/>
            <wp:effectExtent l="0" t="0" r="17780" b="19685"/>
            <wp:docPr id="1" name="图片 1" descr="1637033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7033574(1)"/>
                    <pic:cNvPicPr>
                      <a:picLocks noChangeAspect="1"/>
                    </pic:cNvPicPr>
                  </pic:nvPicPr>
                  <pic:blipFill>
                    <a:blip r:embed="rId6"/>
                    <a:stretch>
                      <a:fillRect/>
                    </a:stretch>
                  </pic:blipFill>
                  <pic:spPr>
                    <a:xfrm>
                      <a:off x="0" y="0"/>
                      <a:ext cx="5240020" cy="3180715"/>
                    </a:xfrm>
                    <a:prstGeom prst="rect">
                      <a:avLst/>
                    </a:prstGeom>
                    <a:noFill/>
                    <a:ln w="9525">
                      <a:noFill/>
                    </a:ln>
                  </pic:spPr>
                </pic:pic>
              </a:graphicData>
            </a:graphic>
          </wp:inline>
        </w:drawing>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给出了“智慧琴房”的术语，明确为：以学校琴房为主体，运用云计算、互联网、人体感应、语音、生物识别、手机APP等技术，借助各类智能化数据采集设备和控制终端，实现琴房的智能分配、智能识别、实时监控、远程控制等功能于一体的新型琴房运行模式。</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（2）规范了管理要求，从人员要求、设施要求、设备要求、制度要求、安全要求等方面，对智慧琴房做出管理方面的要求。</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（3）规范了系统建设要求，明确了智慧琴房系统的基本架构，包括集成平台及应用子系统等，确定了综合管理子系统应用模块、上下琴模块应用模块琴房线上预约等模块功能。</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（4）明确了服务要求，包括了练琴服务、储运服务、维修服务的具体内容和要求。</w:t>
      </w:r>
    </w:p>
    <w:p>
      <w:pPr>
        <w:widowControl/>
        <w:adjustRightInd w:val="0"/>
        <w:snapToGrid w:val="0"/>
        <w:spacing w:line="360" w:lineRule="auto"/>
        <w:ind w:firstLine="560" w:firstLineChars="200"/>
        <w:jc w:val="left"/>
        <w:rPr>
          <w:rFonts w:hint="eastAsia" w:ascii="仿宋" w:hAnsi="仿宋" w:eastAsia="仿宋" w:cs="仿宋"/>
          <w:sz w:val="28"/>
          <w:szCs w:val="28"/>
          <w:highlight w:val="yellow"/>
        </w:rPr>
      </w:pPr>
      <w:r>
        <w:rPr>
          <w:rFonts w:hint="eastAsia" w:ascii="仿宋" w:hAnsi="仿宋" w:eastAsia="仿宋" w:cs="仿宋"/>
          <w:sz w:val="28"/>
          <w:szCs w:val="28"/>
        </w:rPr>
        <w:t>（5）提出评价改进要求，通过开展满意度调查、设置网络调查、投诉建议电话、征求意见卡、服务质量反馈卡等形式，获取投诉或建议信息，及时改进。</w:t>
      </w: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4．</w:t>
      </w:r>
      <w:bookmarkEnd w:id="18"/>
      <w:bookmarkEnd w:id="19"/>
      <w:bookmarkEnd w:id="20"/>
      <w:bookmarkEnd w:id="21"/>
      <w:bookmarkEnd w:id="22"/>
      <w:bookmarkEnd w:id="23"/>
      <w:r>
        <w:rPr>
          <w:rFonts w:hint="eastAsia" w:ascii="仿宋" w:hAnsi="仿宋" w:eastAsia="仿宋" w:cs="仿宋"/>
          <w:kern w:val="0"/>
          <w:sz w:val="28"/>
          <w:szCs w:val="28"/>
        </w:rPr>
        <w:t>国内外现行相关法律、法规和标准情况</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bookmarkStart w:id="24" w:name="_Toc434314342"/>
      <w:bookmarkStart w:id="25" w:name="_Toc453858692"/>
      <w:bookmarkStart w:id="26" w:name="_Toc453858548"/>
      <w:bookmarkStart w:id="27" w:name="_Toc453858766"/>
      <w:bookmarkStart w:id="28" w:name="_Toc453858716"/>
      <w:bookmarkStart w:id="29" w:name="_Toc453858445"/>
      <w:r>
        <w:rPr>
          <w:rFonts w:hint="eastAsia" w:ascii="仿宋_GB2312" w:hAnsi="仿宋_GB2312" w:eastAsia="仿宋_GB2312" w:cs="仿宋_GB2312"/>
          <w:sz w:val="28"/>
        </w:rPr>
        <w:t>本标准遵循我国法律法规、标准的有关规定和要求。</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（1）法律法规</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本标准严格遵循《中华人民共和国标准化法》《浙江省地方标准管理办法》等相关法律法规的规定。</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（2）国际、国家、行业标准</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目前暂无智慧琴房相关的国际标准、国家标准和行业标准，本标准的制定弥补了智慧琴房管理和服务标准的空白。标准研制过程主要引用了以下标准：</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GB/T 10001.1  公共信息图形符号 第1部分：通用符号</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GB/T 38371  数字内容对象存储、复用与交换规范</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GB 50016  建筑设计防火规范</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GB 50118  民用建筑隔声设计规范</w:t>
      </w:r>
    </w:p>
    <w:p>
      <w:pPr>
        <w:widowControl/>
        <w:adjustRightInd w:val="0"/>
        <w:snapToGrid w:val="0"/>
        <w:spacing w:line="360" w:lineRule="auto"/>
        <w:ind w:firstLine="560" w:firstLineChars="200"/>
        <w:jc w:val="left"/>
        <w:rPr>
          <w:rFonts w:hint="eastAsia" w:ascii="仿宋_GB2312" w:hAnsi="仿宋_GB2312" w:eastAsia="仿宋_GB2312" w:cs="仿宋_GB2312"/>
          <w:sz w:val="28"/>
        </w:rPr>
      </w:pPr>
      <w:r>
        <w:rPr>
          <w:rFonts w:hint="eastAsia" w:ascii="仿宋_GB2312" w:hAnsi="仿宋_GB2312" w:eastAsia="仿宋_GB2312" w:cs="仿宋_GB2312"/>
          <w:sz w:val="28"/>
        </w:rPr>
        <w:t>GB 50140  中国建筑灭火器配置设计规范</w:t>
      </w:r>
    </w:p>
    <w:p>
      <w:pPr>
        <w:widowControl/>
        <w:adjustRightInd w:val="0"/>
        <w:snapToGrid w:val="0"/>
        <w:spacing w:line="360" w:lineRule="auto"/>
        <w:ind w:firstLine="560" w:firstLineChars="200"/>
        <w:jc w:val="left"/>
        <w:rPr>
          <w:rFonts w:hint="eastAsia" w:ascii="仿宋" w:hAnsi="仿宋" w:eastAsia="仿宋" w:cs="仿宋"/>
          <w:sz w:val="28"/>
          <w:szCs w:val="28"/>
          <w:highlight w:val="yellow"/>
        </w:rPr>
      </w:pPr>
      <w:r>
        <w:rPr>
          <w:rFonts w:hint="eastAsia" w:ascii="仿宋_GB2312" w:hAnsi="仿宋_GB2312" w:eastAsia="仿宋_GB2312" w:cs="仿宋_GB2312"/>
          <w:sz w:val="28"/>
        </w:rPr>
        <w:t>DB33/T 828.5  社会单位消防安全标准化建设指南 第5部分:医院、养老院、福利院、幼儿园</w:t>
      </w: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5．</w:t>
      </w:r>
      <w:bookmarkEnd w:id="24"/>
      <w:bookmarkEnd w:id="25"/>
      <w:bookmarkEnd w:id="26"/>
      <w:bookmarkEnd w:id="27"/>
      <w:bookmarkEnd w:id="28"/>
      <w:bookmarkEnd w:id="29"/>
      <w:r>
        <w:rPr>
          <w:rFonts w:hint="eastAsia" w:ascii="仿宋" w:hAnsi="仿宋" w:eastAsia="仿宋" w:cs="仿宋"/>
          <w:kern w:val="0"/>
          <w:sz w:val="28"/>
          <w:szCs w:val="28"/>
        </w:rPr>
        <w:t>定量、定性技术要求在本行政区域内的验证情况</w:t>
      </w:r>
    </w:p>
    <w:p>
      <w:pPr>
        <w:widowControl/>
        <w:adjustRightInd w:val="0"/>
        <w:snapToGrid w:val="0"/>
        <w:spacing w:line="360" w:lineRule="auto"/>
        <w:ind w:firstLine="560" w:firstLineChars="200"/>
        <w:jc w:val="left"/>
        <w:rPr>
          <w:rFonts w:hint="eastAsia" w:ascii="仿宋" w:hAnsi="仿宋" w:eastAsia="仿宋" w:cs="仿宋"/>
          <w:kern w:val="0"/>
          <w:sz w:val="28"/>
          <w:szCs w:val="28"/>
        </w:rPr>
      </w:pPr>
      <w:bookmarkStart w:id="30" w:name="_Toc453858768"/>
      <w:bookmarkStart w:id="31" w:name="_Toc453858694"/>
      <w:bookmarkStart w:id="32" w:name="_Toc453858447"/>
      <w:bookmarkStart w:id="33" w:name="_Toc453858718"/>
      <w:bookmarkStart w:id="34" w:name="_Toc453858550"/>
      <w:bookmarkStart w:id="35" w:name="_Toc434314344"/>
      <w:r>
        <w:rPr>
          <w:rFonts w:hint="eastAsia" w:ascii="仿宋" w:hAnsi="仿宋" w:eastAsia="仿宋" w:cs="仿宋"/>
          <w:kern w:val="0"/>
          <w:sz w:val="28"/>
          <w:szCs w:val="28"/>
        </w:rPr>
        <w:t>在研制过程中，本标准结构及起草要求依据GB/T 1.1—2020《标准化工作导则　第1部分：标准化文件的结构和起草规则》执行，定量、定性技术要求验证情况如下：</w:t>
      </w:r>
    </w:p>
    <w:p>
      <w:pPr>
        <w:widowControl/>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（1）4.2.1琴房噪声允许声级根据</w:t>
      </w:r>
      <w:r>
        <w:rPr>
          <w:rFonts w:ascii="仿宋" w:hAnsi="仿宋" w:eastAsia="仿宋" w:cs="仿宋"/>
          <w:kern w:val="0"/>
          <w:sz w:val="28"/>
          <w:szCs w:val="28"/>
        </w:rPr>
        <w:t>GB 50118执行</w:t>
      </w:r>
      <w:r>
        <w:rPr>
          <w:rFonts w:hint="eastAsia" w:ascii="仿宋" w:hAnsi="仿宋" w:eastAsia="仿宋" w:cs="仿宋"/>
          <w:kern w:val="0"/>
          <w:sz w:val="28"/>
          <w:szCs w:val="28"/>
        </w:rPr>
        <w:t>；</w:t>
      </w:r>
    </w:p>
    <w:p>
      <w:pPr>
        <w:widowControl/>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（2）4.3.2在醒目位置配置统一标识，各类标识应符合GB/T 10001.1要求，引用GB/T 10001.1《公共信息图形符号 第1部分：通用符号》；</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（3）4.3.3具有稳定可靠的互联网接入条件，带宽不应低于100M，根据浙江音乐学院、</w:t>
      </w:r>
      <w:r>
        <w:rPr>
          <w:rFonts w:hint="eastAsia" w:ascii="仿宋" w:hAnsi="仿宋" w:eastAsia="仿宋" w:cs="仿宋"/>
          <w:sz w:val="28"/>
          <w:szCs w:val="28"/>
        </w:rPr>
        <w:t>浙江艺术职业学院、浙江传媒学院调研情况得出；</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（4）4.5.1开展安全教育与培训，每年不少于1次，</w:t>
      </w:r>
      <w:r>
        <w:rPr>
          <w:rFonts w:hint="eastAsia" w:ascii="仿宋" w:hAnsi="仿宋" w:eastAsia="仿宋" w:cs="仿宋"/>
          <w:kern w:val="0"/>
          <w:sz w:val="28"/>
          <w:szCs w:val="28"/>
        </w:rPr>
        <w:t>根据浙江音乐学院、</w:t>
      </w:r>
      <w:r>
        <w:rPr>
          <w:rFonts w:hint="eastAsia" w:ascii="仿宋" w:hAnsi="仿宋" w:eastAsia="仿宋" w:cs="仿宋"/>
          <w:sz w:val="28"/>
          <w:szCs w:val="28"/>
        </w:rPr>
        <w:t>浙江艺术职业学院、浙江传媒学院实际情况得出；</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（5）4.5.2消防管理应符合DB33/T828.5的要求，定期对消防设施、设备进行巡查和维护，发现隐患及时整改，引用DB33/T828.5《社会单位消防安全标准化建设指南 第5部分:医院、养老院、福利院、幼儿园》；</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（6）4.5.3防火设计符合GB 50016要求，耐火等级不得低于二级，灭火器配置应符合GB 50140要求，引用GB 50016《建筑设计防火规范》、GB 50140 《民用建筑隔声设计规范》；</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（7）4.5.4安装监控设备，监控区域实施24小时监控，系统保留时间不少于一个月，</w:t>
      </w:r>
      <w:r>
        <w:rPr>
          <w:rFonts w:hint="eastAsia" w:ascii="仿宋" w:hAnsi="仿宋" w:eastAsia="仿宋" w:cs="仿宋"/>
          <w:kern w:val="0"/>
          <w:sz w:val="28"/>
          <w:szCs w:val="28"/>
        </w:rPr>
        <w:t>根据浙江音乐学院、</w:t>
      </w:r>
      <w:r>
        <w:rPr>
          <w:rFonts w:hint="eastAsia" w:ascii="仿宋" w:hAnsi="仿宋" w:eastAsia="仿宋" w:cs="仿宋"/>
          <w:sz w:val="28"/>
          <w:szCs w:val="28"/>
        </w:rPr>
        <w:t>浙江艺术职业学院、浙江传媒学院实际情况得出；</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（8）5系统要求，根据</w:t>
      </w:r>
      <w:r>
        <w:rPr>
          <w:rFonts w:hint="eastAsia" w:ascii="仿宋" w:hAnsi="仿宋" w:eastAsia="仿宋" w:cs="仿宋"/>
          <w:kern w:val="0"/>
          <w:sz w:val="28"/>
          <w:szCs w:val="28"/>
        </w:rPr>
        <w:t>浙江音乐学院、</w:t>
      </w:r>
      <w:r>
        <w:rPr>
          <w:rFonts w:hint="eastAsia" w:ascii="仿宋" w:hAnsi="仿宋" w:eastAsia="仿宋" w:cs="仿宋"/>
          <w:sz w:val="28"/>
          <w:szCs w:val="28"/>
        </w:rPr>
        <w:t>华尔科技有限公司实际系统构建情况得出；</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（9）5.1.1具备智慧琴房集成平台，包括中心服务器、综合管理系统、卡务管理系统、集控管理系统等部分。平台数据共享与交换根据GB/T 38371执行，引用GB/T 38371（所有部分）《数字内容对象存储、复用与交换规范》；</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（10）6.1.3　用户刷卡登记后，应及时进入琴房按预约时长练琴使用，登记后超过15分钟未进入，应重新登记，另行安排琴房和使用时间，</w:t>
      </w:r>
      <w:r>
        <w:rPr>
          <w:rFonts w:hint="eastAsia" w:ascii="仿宋" w:hAnsi="仿宋" w:eastAsia="仿宋" w:cs="仿宋"/>
          <w:kern w:val="0"/>
          <w:sz w:val="28"/>
          <w:szCs w:val="28"/>
        </w:rPr>
        <w:t>根据浙江音乐学院、</w:t>
      </w:r>
      <w:r>
        <w:rPr>
          <w:rFonts w:hint="eastAsia" w:ascii="仿宋" w:hAnsi="仿宋" w:eastAsia="仿宋" w:cs="仿宋"/>
          <w:sz w:val="28"/>
          <w:szCs w:val="28"/>
        </w:rPr>
        <w:t>浙江艺术职业学院、浙江传媒学院实际情况得出；</w:t>
      </w:r>
    </w:p>
    <w:p>
      <w:pPr>
        <w:widowControl/>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（11）6.1.4　练琴中途出现乐器故障，及时在电脑端或移动端平台进行故障反馈，技术人员应在15分钟内抵达现场维修，</w:t>
      </w:r>
      <w:r>
        <w:rPr>
          <w:rFonts w:hint="eastAsia" w:ascii="仿宋" w:hAnsi="仿宋" w:eastAsia="仿宋" w:cs="仿宋"/>
          <w:kern w:val="0"/>
          <w:sz w:val="28"/>
          <w:szCs w:val="28"/>
        </w:rPr>
        <w:t>根据浙江音乐学院、</w:t>
      </w:r>
      <w:r>
        <w:rPr>
          <w:rFonts w:hint="eastAsia" w:ascii="仿宋" w:hAnsi="仿宋" w:eastAsia="仿宋" w:cs="仿宋"/>
          <w:sz w:val="28"/>
          <w:szCs w:val="28"/>
        </w:rPr>
        <w:t>浙江艺术职业学院、浙江传媒学院实际情况得出。</w:t>
      </w: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6．</w:t>
      </w:r>
      <w:bookmarkEnd w:id="30"/>
      <w:bookmarkEnd w:id="31"/>
      <w:bookmarkEnd w:id="32"/>
      <w:bookmarkEnd w:id="33"/>
      <w:bookmarkEnd w:id="34"/>
      <w:bookmarkEnd w:id="35"/>
      <w:r>
        <w:rPr>
          <w:rFonts w:hint="eastAsia" w:ascii="仿宋" w:hAnsi="仿宋" w:eastAsia="仿宋" w:cs="仿宋"/>
          <w:kern w:val="0"/>
          <w:sz w:val="28"/>
          <w:szCs w:val="28"/>
        </w:rPr>
        <w:t>重大意见分歧的处理依据和结果</w:t>
      </w:r>
    </w:p>
    <w:p>
      <w:pPr>
        <w:widowControl/>
        <w:adjustRightInd w:val="0"/>
        <w:snapToGrid w:val="0"/>
        <w:spacing w:line="360" w:lineRule="auto"/>
        <w:ind w:firstLine="560" w:firstLineChars="200"/>
        <w:jc w:val="left"/>
        <w:rPr>
          <w:rFonts w:hint="eastAsia" w:ascii="仿宋" w:hAnsi="仿宋" w:eastAsia="仿宋" w:cs="仿宋"/>
          <w:kern w:val="0"/>
          <w:sz w:val="28"/>
          <w:szCs w:val="28"/>
        </w:rPr>
      </w:pPr>
      <w:bookmarkStart w:id="36" w:name="_Toc453858695"/>
      <w:bookmarkStart w:id="37" w:name="_Toc453858448"/>
      <w:bookmarkStart w:id="38" w:name="_Toc453858551"/>
      <w:bookmarkStart w:id="39" w:name="_Toc434314345"/>
      <w:bookmarkStart w:id="40" w:name="_Toc453858769"/>
      <w:bookmarkStart w:id="41" w:name="_Toc453858719"/>
      <w:r>
        <w:rPr>
          <w:rFonts w:hint="eastAsia" w:ascii="仿宋" w:hAnsi="仿宋" w:eastAsia="仿宋" w:cs="仿宋"/>
          <w:kern w:val="0"/>
          <w:sz w:val="28"/>
          <w:szCs w:val="28"/>
        </w:rPr>
        <w:t>本标准制订过程中，未出现重大意见分歧。</w:t>
      </w: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7</w:t>
      </w:r>
      <w:bookmarkEnd w:id="36"/>
      <w:bookmarkEnd w:id="37"/>
      <w:bookmarkEnd w:id="38"/>
      <w:bookmarkEnd w:id="39"/>
      <w:bookmarkEnd w:id="40"/>
      <w:bookmarkEnd w:id="41"/>
      <w:r>
        <w:rPr>
          <w:rFonts w:hint="eastAsia" w:ascii="仿宋" w:hAnsi="仿宋" w:eastAsia="仿宋" w:cs="仿宋"/>
          <w:kern w:val="0"/>
          <w:sz w:val="28"/>
          <w:szCs w:val="28"/>
        </w:rPr>
        <w:t>．预期的社会、经济、生态效益及贯彻实施标准的要求、措施</w:t>
      </w:r>
    </w:p>
    <w:p>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等建议</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（1）预期效果</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通过制定、宣贯、实施杭州市《智慧琴房管理和服务规范》地方标准，对智慧琴房的管理要求、系统要求、服务要求、评价与改进等方面进行了规定，预计能达到下列几个方面的提升：</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1.有助于提高琴房管理服务能力，保证了琴房资源的合理配置和有效利用；</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2.有助于满足了音乐教育“多层次、多样化、个性化”的服务需求，提升了师生在教学科研、艺术实践服务的获得感；</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3.有助于营造浸润式音乐学习实践环境，促进高质量音乐人才培养，助力“文化浙江”建设，创建音乐教育新标地。</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（2）贯彻实施标准的要求、措施等建议</w:t>
      </w:r>
    </w:p>
    <w:p>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建议省文化和旅游行政部门组织全省相关管理单位参加本标准的宣传贯彻，并开展标准实施效果评价工作，更好推动标准落地实施。在取得标准实施成果的基础上，积极推动将杭州市地方标准上升为浙江省地方标准乃至长三角区域标准。</w:t>
      </w:r>
    </w:p>
    <w:p>
      <w:pPr>
        <w:pStyle w:val="2"/>
        <w:adjustRightInd w:val="0"/>
        <w:snapToGrid w:val="0"/>
        <w:spacing w:before="156" w:beforeLines="50"/>
        <w:rPr>
          <w:rFonts w:ascii="仿宋" w:hAnsi="仿宋" w:eastAsia="仿宋" w:cs="仿宋"/>
          <w:kern w:val="0"/>
          <w:sz w:val="28"/>
          <w:szCs w:val="28"/>
        </w:rPr>
      </w:pPr>
      <w:r>
        <w:rPr>
          <w:rFonts w:hint="eastAsia" w:ascii="仿宋" w:hAnsi="仿宋" w:eastAsia="仿宋" w:cs="仿宋"/>
          <w:kern w:val="0"/>
          <w:sz w:val="28"/>
          <w:szCs w:val="28"/>
        </w:rPr>
        <w:t>8．其他应当说明的事项</w:t>
      </w:r>
    </w:p>
    <w:p>
      <w:pPr>
        <w:widowControl/>
        <w:adjustRightInd w:val="0"/>
        <w:snapToGrid w:val="0"/>
        <w:spacing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无其它予以说明的事项。</w:t>
      </w:r>
    </w:p>
    <w:p>
      <w:pPr>
        <w:widowControl/>
        <w:adjustRightInd w:val="0"/>
        <w:snapToGrid w:val="0"/>
        <w:spacing w:line="360" w:lineRule="auto"/>
        <w:ind w:firstLine="560" w:firstLineChars="200"/>
        <w:jc w:val="left"/>
        <w:rPr>
          <w:rFonts w:hint="eastAsia" w:ascii="仿宋" w:hAnsi="仿宋" w:eastAsia="仿宋" w:cs="仿宋"/>
          <w:color w:val="333333"/>
          <w:kern w:val="0"/>
          <w:sz w:val="28"/>
          <w:szCs w:val="28"/>
        </w:rPr>
      </w:pPr>
    </w:p>
    <w:p>
      <w:pPr>
        <w:widowControl/>
        <w:adjustRightInd w:val="0"/>
        <w:snapToGrid w:val="0"/>
        <w:spacing w:line="360" w:lineRule="auto"/>
        <w:ind w:firstLine="560" w:firstLineChars="200"/>
        <w:jc w:val="righ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标准起草小组</w:t>
      </w:r>
    </w:p>
    <w:p>
      <w:pPr>
        <w:widowControl/>
        <w:adjustRightInd w:val="0"/>
        <w:snapToGrid w:val="0"/>
        <w:spacing w:line="360" w:lineRule="auto"/>
        <w:ind w:firstLine="560" w:firstLineChars="200"/>
        <w:jc w:val="righ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2022年3月1日</w:t>
      </w:r>
    </w:p>
    <w:sectPr>
      <w:footerReference r:id="rId3" w:type="default"/>
      <w:footerReference r:id="rId4" w:type="even"/>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203" w:usb1="288F0000" w:usb2="0000001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00"/>
    <w:family w:val="modern"/>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10" w:usb3="00000000" w:csb0="00040000"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fldChar w:fldCharType="begin"/>
    </w:r>
    <w:r>
      <w:rPr>
        <w:rStyle w:val="20"/>
      </w:rPr>
      <w:instrText xml:space="preserve">PAGE  </w:instrTex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34"/>
      <w:suff w:val="nothing"/>
      <w:lvlText w:val="%1　"/>
      <w:lvlJc w:val="left"/>
      <w:pPr>
        <w:ind w:left="0" w:firstLine="0"/>
      </w:pPr>
      <w:rPr>
        <w:rFonts w:hint="eastAsia" w:ascii="黑体" w:hAnsi="Times New Roman" w:eastAsia="黑体"/>
        <w:b w:val="0"/>
        <w:i w:val="0"/>
        <w:sz w:val="21"/>
        <w:szCs w:val="21"/>
        <w:lang w:eastAsia="zh-CN"/>
      </w:rPr>
    </w:lvl>
    <w:lvl w:ilvl="1" w:tentative="0">
      <w:start w:val="1"/>
      <w:numFmt w:val="decimal"/>
      <w:pStyle w:val="26"/>
      <w:suff w:val="nothing"/>
      <w:lvlText w:val="%1.%2　"/>
      <w:lvlJc w:val="left"/>
      <w:pPr>
        <w:ind w:left="315" w:firstLine="0"/>
      </w:pPr>
      <w:rPr>
        <w:rFonts w:hint="default" w:ascii="Times New Roman"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lang w:val="en-US" w:eastAsia="zh-CN"/>
      </w:rPr>
    </w:lvl>
    <w:lvl w:ilvl="2" w:tentative="0">
      <w:start w:val="1"/>
      <w:numFmt w:val="decimal"/>
      <w:pStyle w:val="31"/>
      <w:suff w:val="nothing"/>
      <w:lvlText w:val="%1.%2.%3　"/>
      <w:lvlJc w:val="left"/>
      <w:pPr>
        <w:ind w:left="105" w:firstLine="0"/>
      </w:pPr>
      <w:rPr>
        <w:rFonts w:hint="eastAsia" w:ascii="黑体" w:hAnsi="Times New Roman" w:eastAsia="黑体"/>
        <w:b w:val="0"/>
        <w:i w:val="0"/>
        <w:sz w:val="21"/>
        <w:lang w:eastAsia="zh-CN"/>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01"/>
    <w:rsid w:val="00002B86"/>
    <w:rsid w:val="00003C26"/>
    <w:rsid w:val="000057D5"/>
    <w:rsid w:val="000078BB"/>
    <w:rsid w:val="00011052"/>
    <w:rsid w:val="00011180"/>
    <w:rsid w:val="000111DB"/>
    <w:rsid w:val="00013A68"/>
    <w:rsid w:val="00014A9B"/>
    <w:rsid w:val="00016B18"/>
    <w:rsid w:val="00016E11"/>
    <w:rsid w:val="0002035E"/>
    <w:rsid w:val="00021331"/>
    <w:rsid w:val="00021D8F"/>
    <w:rsid w:val="00022786"/>
    <w:rsid w:val="000309E0"/>
    <w:rsid w:val="00031924"/>
    <w:rsid w:val="00032608"/>
    <w:rsid w:val="000327E8"/>
    <w:rsid w:val="00032AC5"/>
    <w:rsid w:val="00034ADA"/>
    <w:rsid w:val="000433AE"/>
    <w:rsid w:val="000437EE"/>
    <w:rsid w:val="00044307"/>
    <w:rsid w:val="000445B4"/>
    <w:rsid w:val="00046338"/>
    <w:rsid w:val="00047852"/>
    <w:rsid w:val="00050BC5"/>
    <w:rsid w:val="000523DF"/>
    <w:rsid w:val="00053504"/>
    <w:rsid w:val="000539C3"/>
    <w:rsid w:val="000549E2"/>
    <w:rsid w:val="00056921"/>
    <w:rsid w:val="0006196B"/>
    <w:rsid w:val="00062676"/>
    <w:rsid w:val="0006485F"/>
    <w:rsid w:val="000724FC"/>
    <w:rsid w:val="000763C1"/>
    <w:rsid w:val="000828FA"/>
    <w:rsid w:val="00087D4F"/>
    <w:rsid w:val="000934F1"/>
    <w:rsid w:val="000936B5"/>
    <w:rsid w:val="00094C30"/>
    <w:rsid w:val="00096CCD"/>
    <w:rsid w:val="000A0C78"/>
    <w:rsid w:val="000A24E9"/>
    <w:rsid w:val="000A36D0"/>
    <w:rsid w:val="000A3A81"/>
    <w:rsid w:val="000A5841"/>
    <w:rsid w:val="000A67D4"/>
    <w:rsid w:val="000A6DB1"/>
    <w:rsid w:val="000A7B19"/>
    <w:rsid w:val="000B26FF"/>
    <w:rsid w:val="000B6AEC"/>
    <w:rsid w:val="000B780F"/>
    <w:rsid w:val="000C0E78"/>
    <w:rsid w:val="000C27F7"/>
    <w:rsid w:val="000C3893"/>
    <w:rsid w:val="000C476C"/>
    <w:rsid w:val="000D5F05"/>
    <w:rsid w:val="000D6F01"/>
    <w:rsid w:val="000E11F9"/>
    <w:rsid w:val="000E2DEF"/>
    <w:rsid w:val="000E795B"/>
    <w:rsid w:val="000F29FB"/>
    <w:rsid w:val="000F446E"/>
    <w:rsid w:val="0010009D"/>
    <w:rsid w:val="001018FE"/>
    <w:rsid w:val="00101C70"/>
    <w:rsid w:val="00106DFA"/>
    <w:rsid w:val="00107039"/>
    <w:rsid w:val="00107532"/>
    <w:rsid w:val="001101C4"/>
    <w:rsid w:val="00114438"/>
    <w:rsid w:val="0011648A"/>
    <w:rsid w:val="0012096A"/>
    <w:rsid w:val="00121B8F"/>
    <w:rsid w:val="001225E5"/>
    <w:rsid w:val="00130BE2"/>
    <w:rsid w:val="0013389A"/>
    <w:rsid w:val="00140B4B"/>
    <w:rsid w:val="00142DAF"/>
    <w:rsid w:val="00143986"/>
    <w:rsid w:val="00145407"/>
    <w:rsid w:val="0014550E"/>
    <w:rsid w:val="00157A16"/>
    <w:rsid w:val="00160315"/>
    <w:rsid w:val="00161E8D"/>
    <w:rsid w:val="00163F86"/>
    <w:rsid w:val="00166304"/>
    <w:rsid w:val="00166570"/>
    <w:rsid w:val="001674F6"/>
    <w:rsid w:val="00167EB2"/>
    <w:rsid w:val="00173084"/>
    <w:rsid w:val="00174846"/>
    <w:rsid w:val="0017525C"/>
    <w:rsid w:val="0017606B"/>
    <w:rsid w:val="00180F31"/>
    <w:rsid w:val="00183398"/>
    <w:rsid w:val="001861AC"/>
    <w:rsid w:val="001869A7"/>
    <w:rsid w:val="00192383"/>
    <w:rsid w:val="0019447F"/>
    <w:rsid w:val="00196BAC"/>
    <w:rsid w:val="001A4BD2"/>
    <w:rsid w:val="001A7525"/>
    <w:rsid w:val="001B0943"/>
    <w:rsid w:val="001B0974"/>
    <w:rsid w:val="001B0BB7"/>
    <w:rsid w:val="001B2C24"/>
    <w:rsid w:val="001B33AD"/>
    <w:rsid w:val="001B45B5"/>
    <w:rsid w:val="001B593F"/>
    <w:rsid w:val="001C1250"/>
    <w:rsid w:val="001C189A"/>
    <w:rsid w:val="001C72C2"/>
    <w:rsid w:val="001D12EC"/>
    <w:rsid w:val="001D3FC5"/>
    <w:rsid w:val="001D4977"/>
    <w:rsid w:val="001D72A4"/>
    <w:rsid w:val="001E1386"/>
    <w:rsid w:val="001E42A9"/>
    <w:rsid w:val="001E7130"/>
    <w:rsid w:val="001F0A9A"/>
    <w:rsid w:val="001F29D0"/>
    <w:rsid w:val="001F3AF0"/>
    <w:rsid w:val="00201B6C"/>
    <w:rsid w:val="00212A66"/>
    <w:rsid w:val="0021449F"/>
    <w:rsid w:val="0021582C"/>
    <w:rsid w:val="00221533"/>
    <w:rsid w:val="00222483"/>
    <w:rsid w:val="00222EE5"/>
    <w:rsid w:val="00230610"/>
    <w:rsid w:val="00232E1B"/>
    <w:rsid w:val="00234796"/>
    <w:rsid w:val="002412BD"/>
    <w:rsid w:val="00242824"/>
    <w:rsid w:val="00243440"/>
    <w:rsid w:val="002442F1"/>
    <w:rsid w:val="00244AE7"/>
    <w:rsid w:val="00246BC7"/>
    <w:rsid w:val="00246BDD"/>
    <w:rsid w:val="002514AE"/>
    <w:rsid w:val="002541A4"/>
    <w:rsid w:val="00254BD1"/>
    <w:rsid w:val="002565FB"/>
    <w:rsid w:val="00256EF2"/>
    <w:rsid w:val="0025731E"/>
    <w:rsid w:val="0025738F"/>
    <w:rsid w:val="00270AAC"/>
    <w:rsid w:val="00272BBD"/>
    <w:rsid w:val="00273214"/>
    <w:rsid w:val="00273D23"/>
    <w:rsid w:val="002745E9"/>
    <w:rsid w:val="00283035"/>
    <w:rsid w:val="00284B76"/>
    <w:rsid w:val="002907A3"/>
    <w:rsid w:val="0029424F"/>
    <w:rsid w:val="0029578B"/>
    <w:rsid w:val="002957E1"/>
    <w:rsid w:val="00295BD8"/>
    <w:rsid w:val="00295D34"/>
    <w:rsid w:val="00296391"/>
    <w:rsid w:val="002A360F"/>
    <w:rsid w:val="002A4F74"/>
    <w:rsid w:val="002A66A9"/>
    <w:rsid w:val="002A6DA7"/>
    <w:rsid w:val="002B05CA"/>
    <w:rsid w:val="002B2A43"/>
    <w:rsid w:val="002B6AE2"/>
    <w:rsid w:val="002C02D1"/>
    <w:rsid w:val="002C1A68"/>
    <w:rsid w:val="002C2704"/>
    <w:rsid w:val="002C41D7"/>
    <w:rsid w:val="002C6AA9"/>
    <w:rsid w:val="002D18BA"/>
    <w:rsid w:val="002D715C"/>
    <w:rsid w:val="002E1102"/>
    <w:rsid w:val="002E3DE7"/>
    <w:rsid w:val="002E747C"/>
    <w:rsid w:val="002F4615"/>
    <w:rsid w:val="002F7EB0"/>
    <w:rsid w:val="00311A74"/>
    <w:rsid w:val="00312E1F"/>
    <w:rsid w:val="003140EE"/>
    <w:rsid w:val="00316453"/>
    <w:rsid w:val="00320C28"/>
    <w:rsid w:val="003277D0"/>
    <w:rsid w:val="0033002A"/>
    <w:rsid w:val="00330328"/>
    <w:rsid w:val="0033357D"/>
    <w:rsid w:val="00341053"/>
    <w:rsid w:val="003429C9"/>
    <w:rsid w:val="00344152"/>
    <w:rsid w:val="0034547E"/>
    <w:rsid w:val="00346B43"/>
    <w:rsid w:val="00347AF9"/>
    <w:rsid w:val="0035164D"/>
    <w:rsid w:val="00351DFC"/>
    <w:rsid w:val="00352266"/>
    <w:rsid w:val="0035251C"/>
    <w:rsid w:val="00354A5C"/>
    <w:rsid w:val="00360EA5"/>
    <w:rsid w:val="0036157C"/>
    <w:rsid w:val="003625DE"/>
    <w:rsid w:val="00362D07"/>
    <w:rsid w:val="0036527D"/>
    <w:rsid w:val="00367DCC"/>
    <w:rsid w:val="00373129"/>
    <w:rsid w:val="00373D2D"/>
    <w:rsid w:val="0037539F"/>
    <w:rsid w:val="00380F4F"/>
    <w:rsid w:val="00382D63"/>
    <w:rsid w:val="003876FE"/>
    <w:rsid w:val="00390712"/>
    <w:rsid w:val="00391BC5"/>
    <w:rsid w:val="00395F5D"/>
    <w:rsid w:val="00396BC8"/>
    <w:rsid w:val="003A2E2B"/>
    <w:rsid w:val="003A6EED"/>
    <w:rsid w:val="003B3E08"/>
    <w:rsid w:val="003B470E"/>
    <w:rsid w:val="003B59BA"/>
    <w:rsid w:val="003B6799"/>
    <w:rsid w:val="003C3A8C"/>
    <w:rsid w:val="003C436C"/>
    <w:rsid w:val="003C4CF4"/>
    <w:rsid w:val="003C52DF"/>
    <w:rsid w:val="003C6CA5"/>
    <w:rsid w:val="003D1F47"/>
    <w:rsid w:val="003D2D3E"/>
    <w:rsid w:val="003D32A4"/>
    <w:rsid w:val="003D4114"/>
    <w:rsid w:val="003D49D5"/>
    <w:rsid w:val="003D59A9"/>
    <w:rsid w:val="003D6BEB"/>
    <w:rsid w:val="003F0839"/>
    <w:rsid w:val="003F1530"/>
    <w:rsid w:val="003F204F"/>
    <w:rsid w:val="00401B43"/>
    <w:rsid w:val="00401BAD"/>
    <w:rsid w:val="00401F2F"/>
    <w:rsid w:val="004036C5"/>
    <w:rsid w:val="00412B8E"/>
    <w:rsid w:val="004147DF"/>
    <w:rsid w:val="00416810"/>
    <w:rsid w:val="00427D7E"/>
    <w:rsid w:val="004310FC"/>
    <w:rsid w:val="00431C38"/>
    <w:rsid w:val="004337A1"/>
    <w:rsid w:val="00437108"/>
    <w:rsid w:val="00440481"/>
    <w:rsid w:val="004407A2"/>
    <w:rsid w:val="004501B3"/>
    <w:rsid w:val="00451BD6"/>
    <w:rsid w:val="00461722"/>
    <w:rsid w:val="00474770"/>
    <w:rsid w:val="0047603B"/>
    <w:rsid w:val="00476B8D"/>
    <w:rsid w:val="0048139F"/>
    <w:rsid w:val="00481534"/>
    <w:rsid w:val="00483A1B"/>
    <w:rsid w:val="00491C33"/>
    <w:rsid w:val="00493625"/>
    <w:rsid w:val="004A0B6D"/>
    <w:rsid w:val="004A7F8B"/>
    <w:rsid w:val="004B0C31"/>
    <w:rsid w:val="004B30DB"/>
    <w:rsid w:val="004B36F4"/>
    <w:rsid w:val="004B4C40"/>
    <w:rsid w:val="004B4FA4"/>
    <w:rsid w:val="004C09E0"/>
    <w:rsid w:val="004C383D"/>
    <w:rsid w:val="004C3A2D"/>
    <w:rsid w:val="004C6A85"/>
    <w:rsid w:val="004D4326"/>
    <w:rsid w:val="004D438B"/>
    <w:rsid w:val="004D43E3"/>
    <w:rsid w:val="004D50C1"/>
    <w:rsid w:val="004D7358"/>
    <w:rsid w:val="004E1974"/>
    <w:rsid w:val="004E3CB7"/>
    <w:rsid w:val="004E4322"/>
    <w:rsid w:val="004F18F8"/>
    <w:rsid w:val="004F4D3D"/>
    <w:rsid w:val="004F5A19"/>
    <w:rsid w:val="00501E7B"/>
    <w:rsid w:val="00502212"/>
    <w:rsid w:val="0050747D"/>
    <w:rsid w:val="005115FE"/>
    <w:rsid w:val="00517B4F"/>
    <w:rsid w:val="00521D25"/>
    <w:rsid w:val="00523D81"/>
    <w:rsid w:val="005257A7"/>
    <w:rsid w:val="00532201"/>
    <w:rsid w:val="00532840"/>
    <w:rsid w:val="00533C54"/>
    <w:rsid w:val="00535D1A"/>
    <w:rsid w:val="0053732A"/>
    <w:rsid w:val="00544B0F"/>
    <w:rsid w:val="005514B9"/>
    <w:rsid w:val="00554A19"/>
    <w:rsid w:val="00561D65"/>
    <w:rsid w:val="00565E93"/>
    <w:rsid w:val="00566C0C"/>
    <w:rsid w:val="0057175C"/>
    <w:rsid w:val="00572671"/>
    <w:rsid w:val="00574C82"/>
    <w:rsid w:val="00574DF7"/>
    <w:rsid w:val="0058142D"/>
    <w:rsid w:val="00583A7A"/>
    <w:rsid w:val="00583E96"/>
    <w:rsid w:val="005840AD"/>
    <w:rsid w:val="00590E5A"/>
    <w:rsid w:val="005970DB"/>
    <w:rsid w:val="005973DB"/>
    <w:rsid w:val="005A550F"/>
    <w:rsid w:val="005A6165"/>
    <w:rsid w:val="005A6DD4"/>
    <w:rsid w:val="005B6AFD"/>
    <w:rsid w:val="005C00A5"/>
    <w:rsid w:val="005C042E"/>
    <w:rsid w:val="005C0A43"/>
    <w:rsid w:val="005C1438"/>
    <w:rsid w:val="005C1B5A"/>
    <w:rsid w:val="005C6E7A"/>
    <w:rsid w:val="005D6D33"/>
    <w:rsid w:val="005E1C99"/>
    <w:rsid w:val="005E252F"/>
    <w:rsid w:val="005E2AB6"/>
    <w:rsid w:val="005E67ED"/>
    <w:rsid w:val="005F1404"/>
    <w:rsid w:val="005F28DB"/>
    <w:rsid w:val="005F5F8B"/>
    <w:rsid w:val="005F6B4C"/>
    <w:rsid w:val="00601B2F"/>
    <w:rsid w:val="00602988"/>
    <w:rsid w:val="0060736F"/>
    <w:rsid w:val="0061073B"/>
    <w:rsid w:val="0061075C"/>
    <w:rsid w:val="00610E81"/>
    <w:rsid w:val="00611A66"/>
    <w:rsid w:val="00612A77"/>
    <w:rsid w:val="00614169"/>
    <w:rsid w:val="00621E04"/>
    <w:rsid w:val="00626506"/>
    <w:rsid w:val="00632AD3"/>
    <w:rsid w:val="00632DB9"/>
    <w:rsid w:val="006354A8"/>
    <w:rsid w:val="0064015A"/>
    <w:rsid w:val="00642400"/>
    <w:rsid w:val="00644701"/>
    <w:rsid w:val="0065016C"/>
    <w:rsid w:val="00650FE7"/>
    <w:rsid w:val="006516FF"/>
    <w:rsid w:val="00662EDD"/>
    <w:rsid w:val="00663C51"/>
    <w:rsid w:val="006641EF"/>
    <w:rsid w:val="00666C85"/>
    <w:rsid w:val="006779E4"/>
    <w:rsid w:val="00682DFE"/>
    <w:rsid w:val="0069178D"/>
    <w:rsid w:val="00694C76"/>
    <w:rsid w:val="00694E0C"/>
    <w:rsid w:val="00695F47"/>
    <w:rsid w:val="00696A44"/>
    <w:rsid w:val="006B3A5C"/>
    <w:rsid w:val="006C126F"/>
    <w:rsid w:val="006C210A"/>
    <w:rsid w:val="006C2622"/>
    <w:rsid w:val="006C3201"/>
    <w:rsid w:val="006C4A3C"/>
    <w:rsid w:val="006C7062"/>
    <w:rsid w:val="006D10B9"/>
    <w:rsid w:val="006D135D"/>
    <w:rsid w:val="006D47A6"/>
    <w:rsid w:val="006D60FF"/>
    <w:rsid w:val="006E687E"/>
    <w:rsid w:val="006E70CD"/>
    <w:rsid w:val="006E7BFB"/>
    <w:rsid w:val="006E7E4C"/>
    <w:rsid w:val="006F0B9E"/>
    <w:rsid w:val="006F39E4"/>
    <w:rsid w:val="006F3FE9"/>
    <w:rsid w:val="0070522F"/>
    <w:rsid w:val="00705DB4"/>
    <w:rsid w:val="00707144"/>
    <w:rsid w:val="0071473E"/>
    <w:rsid w:val="00715103"/>
    <w:rsid w:val="0071679F"/>
    <w:rsid w:val="00720D85"/>
    <w:rsid w:val="00722DFB"/>
    <w:rsid w:val="007269C9"/>
    <w:rsid w:val="0072706A"/>
    <w:rsid w:val="00730387"/>
    <w:rsid w:val="00732F3E"/>
    <w:rsid w:val="0073445B"/>
    <w:rsid w:val="00735345"/>
    <w:rsid w:val="00736868"/>
    <w:rsid w:val="00740F31"/>
    <w:rsid w:val="0074105B"/>
    <w:rsid w:val="00745298"/>
    <w:rsid w:val="00745F2F"/>
    <w:rsid w:val="00750479"/>
    <w:rsid w:val="00753EC6"/>
    <w:rsid w:val="00754A86"/>
    <w:rsid w:val="00755C49"/>
    <w:rsid w:val="00756097"/>
    <w:rsid w:val="00756360"/>
    <w:rsid w:val="00757B78"/>
    <w:rsid w:val="0076046A"/>
    <w:rsid w:val="00763E5D"/>
    <w:rsid w:val="00765803"/>
    <w:rsid w:val="00767D10"/>
    <w:rsid w:val="00767DA5"/>
    <w:rsid w:val="0077099B"/>
    <w:rsid w:val="00772CA9"/>
    <w:rsid w:val="00774EE9"/>
    <w:rsid w:val="007765B3"/>
    <w:rsid w:val="00791051"/>
    <w:rsid w:val="007917E1"/>
    <w:rsid w:val="007A1372"/>
    <w:rsid w:val="007A3934"/>
    <w:rsid w:val="007B3787"/>
    <w:rsid w:val="007B40A6"/>
    <w:rsid w:val="007B5A5F"/>
    <w:rsid w:val="007B5EBA"/>
    <w:rsid w:val="007C7BCD"/>
    <w:rsid w:val="007D1D6B"/>
    <w:rsid w:val="007D2A1C"/>
    <w:rsid w:val="007E2734"/>
    <w:rsid w:val="007E3192"/>
    <w:rsid w:val="007E3C41"/>
    <w:rsid w:val="007E77A9"/>
    <w:rsid w:val="007F3CC6"/>
    <w:rsid w:val="007F7913"/>
    <w:rsid w:val="0080302F"/>
    <w:rsid w:val="00803F12"/>
    <w:rsid w:val="00804385"/>
    <w:rsid w:val="0081176F"/>
    <w:rsid w:val="008158FD"/>
    <w:rsid w:val="00825F02"/>
    <w:rsid w:val="00827F0B"/>
    <w:rsid w:val="00837E95"/>
    <w:rsid w:val="00840D3C"/>
    <w:rsid w:val="00841D7E"/>
    <w:rsid w:val="008439CF"/>
    <w:rsid w:val="008517BF"/>
    <w:rsid w:val="0085515C"/>
    <w:rsid w:val="00861C96"/>
    <w:rsid w:val="008640C9"/>
    <w:rsid w:val="00866A34"/>
    <w:rsid w:val="008810D7"/>
    <w:rsid w:val="008822CA"/>
    <w:rsid w:val="00886F7C"/>
    <w:rsid w:val="008909AF"/>
    <w:rsid w:val="00895E9B"/>
    <w:rsid w:val="0089667C"/>
    <w:rsid w:val="0089676B"/>
    <w:rsid w:val="00897505"/>
    <w:rsid w:val="008A1442"/>
    <w:rsid w:val="008A40F0"/>
    <w:rsid w:val="008B2A84"/>
    <w:rsid w:val="008B3CCB"/>
    <w:rsid w:val="008D38A6"/>
    <w:rsid w:val="008D3EB6"/>
    <w:rsid w:val="008D60F4"/>
    <w:rsid w:val="008E4468"/>
    <w:rsid w:val="008E57FA"/>
    <w:rsid w:val="008E658B"/>
    <w:rsid w:val="008E6863"/>
    <w:rsid w:val="008E6889"/>
    <w:rsid w:val="008F0DF4"/>
    <w:rsid w:val="008F49D7"/>
    <w:rsid w:val="008F5E72"/>
    <w:rsid w:val="009007D9"/>
    <w:rsid w:val="0090094C"/>
    <w:rsid w:val="0090211C"/>
    <w:rsid w:val="0090529C"/>
    <w:rsid w:val="00905462"/>
    <w:rsid w:val="00906868"/>
    <w:rsid w:val="00910ACF"/>
    <w:rsid w:val="00915CFD"/>
    <w:rsid w:val="00916A5E"/>
    <w:rsid w:val="0092379A"/>
    <w:rsid w:val="00923F89"/>
    <w:rsid w:val="00926747"/>
    <w:rsid w:val="009278BC"/>
    <w:rsid w:val="00927CEA"/>
    <w:rsid w:val="0093243B"/>
    <w:rsid w:val="00932B94"/>
    <w:rsid w:val="00933736"/>
    <w:rsid w:val="00935F74"/>
    <w:rsid w:val="00942CE0"/>
    <w:rsid w:val="00946F43"/>
    <w:rsid w:val="009519C5"/>
    <w:rsid w:val="00951ECF"/>
    <w:rsid w:val="0095289E"/>
    <w:rsid w:val="00952F31"/>
    <w:rsid w:val="00960455"/>
    <w:rsid w:val="00964F40"/>
    <w:rsid w:val="0097026F"/>
    <w:rsid w:val="00972076"/>
    <w:rsid w:val="00973533"/>
    <w:rsid w:val="00984A1C"/>
    <w:rsid w:val="00985969"/>
    <w:rsid w:val="0099644B"/>
    <w:rsid w:val="009A1620"/>
    <w:rsid w:val="009B21B1"/>
    <w:rsid w:val="009B3267"/>
    <w:rsid w:val="009B64D6"/>
    <w:rsid w:val="009B708B"/>
    <w:rsid w:val="009C3DC1"/>
    <w:rsid w:val="009C5521"/>
    <w:rsid w:val="009C689A"/>
    <w:rsid w:val="009D2A73"/>
    <w:rsid w:val="009D3AB0"/>
    <w:rsid w:val="009D50DB"/>
    <w:rsid w:val="009D5132"/>
    <w:rsid w:val="009E374E"/>
    <w:rsid w:val="009E4CCD"/>
    <w:rsid w:val="009F2BF0"/>
    <w:rsid w:val="009F2C45"/>
    <w:rsid w:val="00A00A97"/>
    <w:rsid w:val="00A02311"/>
    <w:rsid w:val="00A02683"/>
    <w:rsid w:val="00A10A11"/>
    <w:rsid w:val="00A121E0"/>
    <w:rsid w:val="00A161AA"/>
    <w:rsid w:val="00A17B25"/>
    <w:rsid w:val="00A21A61"/>
    <w:rsid w:val="00A22143"/>
    <w:rsid w:val="00A23363"/>
    <w:rsid w:val="00A23C6D"/>
    <w:rsid w:val="00A264A7"/>
    <w:rsid w:val="00A34353"/>
    <w:rsid w:val="00A46F2B"/>
    <w:rsid w:val="00A511FD"/>
    <w:rsid w:val="00A52284"/>
    <w:rsid w:val="00A62C79"/>
    <w:rsid w:val="00A62E11"/>
    <w:rsid w:val="00A633C5"/>
    <w:rsid w:val="00A63593"/>
    <w:rsid w:val="00A6387D"/>
    <w:rsid w:val="00A647D0"/>
    <w:rsid w:val="00A667E3"/>
    <w:rsid w:val="00A7350E"/>
    <w:rsid w:val="00A75E77"/>
    <w:rsid w:val="00A7669F"/>
    <w:rsid w:val="00A77630"/>
    <w:rsid w:val="00A777E7"/>
    <w:rsid w:val="00A82843"/>
    <w:rsid w:val="00A82C00"/>
    <w:rsid w:val="00A83DBD"/>
    <w:rsid w:val="00A9010B"/>
    <w:rsid w:val="00A909AF"/>
    <w:rsid w:val="00A90BA9"/>
    <w:rsid w:val="00A90BB3"/>
    <w:rsid w:val="00A92E6D"/>
    <w:rsid w:val="00A93B2B"/>
    <w:rsid w:val="00AA0243"/>
    <w:rsid w:val="00AA5142"/>
    <w:rsid w:val="00AA5DFA"/>
    <w:rsid w:val="00AA6250"/>
    <w:rsid w:val="00AB1142"/>
    <w:rsid w:val="00AB4D50"/>
    <w:rsid w:val="00AB6C97"/>
    <w:rsid w:val="00AC2134"/>
    <w:rsid w:val="00AC3162"/>
    <w:rsid w:val="00AC38CC"/>
    <w:rsid w:val="00AD0452"/>
    <w:rsid w:val="00AD3F9E"/>
    <w:rsid w:val="00AD40D3"/>
    <w:rsid w:val="00AD422E"/>
    <w:rsid w:val="00AD55DA"/>
    <w:rsid w:val="00AE37FC"/>
    <w:rsid w:val="00AE446C"/>
    <w:rsid w:val="00AE4EF9"/>
    <w:rsid w:val="00AE537F"/>
    <w:rsid w:val="00AE6108"/>
    <w:rsid w:val="00AF6308"/>
    <w:rsid w:val="00AF6411"/>
    <w:rsid w:val="00AF7519"/>
    <w:rsid w:val="00B0106F"/>
    <w:rsid w:val="00B01951"/>
    <w:rsid w:val="00B025A7"/>
    <w:rsid w:val="00B0594F"/>
    <w:rsid w:val="00B06ED0"/>
    <w:rsid w:val="00B10943"/>
    <w:rsid w:val="00B12793"/>
    <w:rsid w:val="00B13151"/>
    <w:rsid w:val="00B141BD"/>
    <w:rsid w:val="00B17639"/>
    <w:rsid w:val="00B21152"/>
    <w:rsid w:val="00B217D9"/>
    <w:rsid w:val="00B24853"/>
    <w:rsid w:val="00B255EC"/>
    <w:rsid w:val="00B25E54"/>
    <w:rsid w:val="00B25EB9"/>
    <w:rsid w:val="00B26A13"/>
    <w:rsid w:val="00B30C50"/>
    <w:rsid w:val="00B31C7A"/>
    <w:rsid w:val="00B32222"/>
    <w:rsid w:val="00B34572"/>
    <w:rsid w:val="00B40867"/>
    <w:rsid w:val="00B41401"/>
    <w:rsid w:val="00B43E7B"/>
    <w:rsid w:val="00B44F24"/>
    <w:rsid w:val="00B51E3A"/>
    <w:rsid w:val="00B54083"/>
    <w:rsid w:val="00B55AB7"/>
    <w:rsid w:val="00B6032D"/>
    <w:rsid w:val="00B64805"/>
    <w:rsid w:val="00B65F4F"/>
    <w:rsid w:val="00B67237"/>
    <w:rsid w:val="00B70783"/>
    <w:rsid w:val="00B732B8"/>
    <w:rsid w:val="00B76063"/>
    <w:rsid w:val="00B80DAA"/>
    <w:rsid w:val="00B80E8E"/>
    <w:rsid w:val="00B82747"/>
    <w:rsid w:val="00B849A7"/>
    <w:rsid w:val="00B84B7A"/>
    <w:rsid w:val="00B859BC"/>
    <w:rsid w:val="00B908D8"/>
    <w:rsid w:val="00B90CCE"/>
    <w:rsid w:val="00B9359E"/>
    <w:rsid w:val="00BA4A06"/>
    <w:rsid w:val="00BA7B77"/>
    <w:rsid w:val="00BB0D15"/>
    <w:rsid w:val="00BB3643"/>
    <w:rsid w:val="00BB51FF"/>
    <w:rsid w:val="00BC1B0F"/>
    <w:rsid w:val="00BC367F"/>
    <w:rsid w:val="00BD0837"/>
    <w:rsid w:val="00BD23FC"/>
    <w:rsid w:val="00BD30DB"/>
    <w:rsid w:val="00BE030C"/>
    <w:rsid w:val="00BE0F81"/>
    <w:rsid w:val="00BE13BB"/>
    <w:rsid w:val="00BE2140"/>
    <w:rsid w:val="00BE2701"/>
    <w:rsid w:val="00BE5020"/>
    <w:rsid w:val="00C04383"/>
    <w:rsid w:val="00C056A8"/>
    <w:rsid w:val="00C05C92"/>
    <w:rsid w:val="00C117D7"/>
    <w:rsid w:val="00C170F8"/>
    <w:rsid w:val="00C1769B"/>
    <w:rsid w:val="00C20686"/>
    <w:rsid w:val="00C22905"/>
    <w:rsid w:val="00C23203"/>
    <w:rsid w:val="00C23C66"/>
    <w:rsid w:val="00C33EFC"/>
    <w:rsid w:val="00C351E3"/>
    <w:rsid w:val="00C35A8B"/>
    <w:rsid w:val="00C419D8"/>
    <w:rsid w:val="00C467EC"/>
    <w:rsid w:val="00C54187"/>
    <w:rsid w:val="00C55766"/>
    <w:rsid w:val="00C56291"/>
    <w:rsid w:val="00C57775"/>
    <w:rsid w:val="00C62A7F"/>
    <w:rsid w:val="00C76A07"/>
    <w:rsid w:val="00C76D62"/>
    <w:rsid w:val="00C835F3"/>
    <w:rsid w:val="00C84034"/>
    <w:rsid w:val="00C84179"/>
    <w:rsid w:val="00C85B41"/>
    <w:rsid w:val="00C924A0"/>
    <w:rsid w:val="00C94843"/>
    <w:rsid w:val="00C97833"/>
    <w:rsid w:val="00CA5A24"/>
    <w:rsid w:val="00CA63D4"/>
    <w:rsid w:val="00CA6A27"/>
    <w:rsid w:val="00CA77D0"/>
    <w:rsid w:val="00CA799A"/>
    <w:rsid w:val="00CB1589"/>
    <w:rsid w:val="00CB2C56"/>
    <w:rsid w:val="00CB34BA"/>
    <w:rsid w:val="00CB4FFC"/>
    <w:rsid w:val="00CD073F"/>
    <w:rsid w:val="00CD100B"/>
    <w:rsid w:val="00CD1E57"/>
    <w:rsid w:val="00CD45F5"/>
    <w:rsid w:val="00CD791D"/>
    <w:rsid w:val="00CE5866"/>
    <w:rsid w:val="00CF1592"/>
    <w:rsid w:val="00CF4670"/>
    <w:rsid w:val="00D00401"/>
    <w:rsid w:val="00D00B1D"/>
    <w:rsid w:val="00D02C44"/>
    <w:rsid w:val="00D03E0B"/>
    <w:rsid w:val="00D068B1"/>
    <w:rsid w:val="00D10957"/>
    <w:rsid w:val="00D11D43"/>
    <w:rsid w:val="00D12396"/>
    <w:rsid w:val="00D2063E"/>
    <w:rsid w:val="00D252B1"/>
    <w:rsid w:val="00D30944"/>
    <w:rsid w:val="00D31E09"/>
    <w:rsid w:val="00D35E7A"/>
    <w:rsid w:val="00D40278"/>
    <w:rsid w:val="00D4178D"/>
    <w:rsid w:val="00D4473E"/>
    <w:rsid w:val="00D4769D"/>
    <w:rsid w:val="00D50236"/>
    <w:rsid w:val="00D5261C"/>
    <w:rsid w:val="00D53752"/>
    <w:rsid w:val="00D5386F"/>
    <w:rsid w:val="00D54BEC"/>
    <w:rsid w:val="00D54F9E"/>
    <w:rsid w:val="00D603A0"/>
    <w:rsid w:val="00D66360"/>
    <w:rsid w:val="00D708E0"/>
    <w:rsid w:val="00D7570B"/>
    <w:rsid w:val="00D76F7E"/>
    <w:rsid w:val="00D80016"/>
    <w:rsid w:val="00D808CF"/>
    <w:rsid w:val="00D918D3"/>
    <w:rsid w:val="00D95275"/>
    <w:rsid w:val="00D9656D"/>
    <w:rsid w:val="00D96C11"/>
    <w:rsid w:val="00DA7A70"/>
    <w:rsid w:val="00DB6D47"/>
    <w:rsid w:val="00DC10B5"/>
    <w:rsid w:val="00DC19DC"/>
    <w:rsid w:val="00DC1B1F"/>
    <w:rsid w:val="00DC4AF8"/>
    <w:rsid w:val="00DC5EAE"/>
    <w:rsid w:val="00DD1A00"/>
    <w:rsid w:val="00DD30CA"/>
    <w:rsid w:val="00DD3AFB"/>
    <w:rsid w:val="00DD4DE2"/>
    <w:rsid w:val="00DD7904"/>
    <w:rsid w:val="00DD7FC6"/>
    <w:rsid w:val="00DE2592"/>
    <w:rsid w:val="00DE5D43"/>
    <w:rsid w:val="00DE7283"/>
    <w:rsid w:val="00DF1CA3"/>
    <w:rsid w:val="00DF5FFE"/>
    <w:rsid w:val="00E03B6E"/>
    <w:rsid w:val="00E049A0"/>
    <w:rsid w:val="00E07F98"/>
    <w:rsid w:val="00E11377"/>
    <w:rsid w:val="00E1559F"/>
    <w:rsid w:val="00E17028"/>
    <w:rsid w:val="00E20EEF"/>
    <w:rsid w:val="00E21C7A"/>
    <w:rsid w:val="00E22013"/>
    <w:rsid w:val="00E22574"/>
    <w:rsid w:val="00E240C4"/>
    <w:rsid w:val="00E27A42"/>
    <w:rsid w:val="00E32623"/>
    <w:rsid w:val="00E4099E"/>
    <w:rsid w:val="00E52560"/>
    <w:rsid w:val="00E529D3"/>
    <w:rsid w:val="00E54671"/>
    <w:rsid w:val="00E55125"/>
    <w:rsid w:val="00E5538F"/>
    <w:rsid w:val="00E56917"/>
    <w:rsid w:val="00E6395D"/>
    <w:rsid w:val="00E6494D"/>
    <w:rsid w:val="00E66B80"/>
    <w:rsid w:val="00E718B0"/>
    <w:rsid w:val="00E76621"/>
    <w:rsid w:val="00E771A1"/>
    <w:rsid w:val="00E80C10"/>
    <w:rsid w:val="00E81AC3"/>
    <w:rsid w:val="00E9039F"/>
    <w:rsid w:val="00E92DBE"/>
    <w:rsid w:val="00E9782D"/>
    <w:rsid w:val="00EA0426"/>
    <w:rsid w:val="00EA2F7A"/>
    <w:rsid w:val="00EA6A6E"/>
    <w:rsid w:val="00EB196E"/>
    <w:rsid w:val="00EB308A"/>
    <w:rsid w:val="00EB58D7"/>
    <w:rsid w:val="00ED5D51"/>
    <w:rsid w:val="00EE30CC"/>
    <w:rsid w:val="00EE6299"/>
    <w:rsid w:val="00EF08B6"/>
    <w:rsid w:val="00EF1491"/>
    <w:rsid w:val="00EF1A07"/>
    <w:rsid w:val="00EF2757"/>
    <w:rsid w:val="00EF4850"/>
    <w:rsid w:val="00EF5004"/>
    <w:rsid w:val="00F01AFB"/>
    <w:rsid w:val="00F05A1A"/>
    <w:rsid w:val="00F12B3E"/>
    <w:rsid w:val="00F12D6C"/>
    <w:rsid w:val="00F14051"/>
    <w:rsid w:val="00F14901"/>
    <w:rsid w:val="00F1742E"/>
    <w:rsid w:val="00F202AE"/>
    <w:rsid w:val="00F207E4"/>
    <w:rsid w:val="00F208AD"/>
    <w:rsid w:val="00F3687C"/>
    <w:rsid w:val="00F46CD8"/>
    <w:rsid w:val="00F50803"/>
    <w:rsid w:val="00F50C57"/>
    <w:rsid w:val="00F51D53"/>
    <w:rsid w:val="00F52B04"/>
    <w:rsid w:val="00F5430A"/>
    <w:rsid w:val="00F577C8"/>
    <w:rsid w:val="00F60347"/>
    <w:rsid w:val="00F60A26"/>
    <w:rsid w:val="00F60ADB"/>
    <w:rsid w:val="00F61F18"/>
    <w:rsid w:val="00F62ED8"/>
    <w:rsid w:val="00F63A6E"/>
    <w:rsid w:val="00F67858"/>
    <w:rsid w:val="00F6786D"/>
    <w:rsid w:val="00F67CC9"/>
    <w:rsid w:val="00F72655"/>
    <w:rsid w:val="00F77CA3"/>
    <w:rsid w:val="00F810B7"/>
    <w:rsid w:val="00FA052E"/>
    <w:rsid w:val="00FA29E5"/>
    <w:rsid w:val="00FA5DB1"/>
    <w:rsid w:val="00FA61A1"/>
    <w:rsid w:val="00FB10F3"/>
    <w:rsid w:val="00FB3198"/>
    <w:rsid w:val="00FB3BF2"/>
    <w:rsid w:val="00FB408E"/>
    <w:rsid w:val="00FB5B4A"/>
    <w:rsid w:val="00FB5BF2"/>
    <w:rsid w:val="00FB71FB"/>
    <w:rsid w:val="00FB7853"/>
    <w:rsid w:val="00FC1DDF"/>
    <w:rsid w:val="00FC2C67"/>
    <w:rsid w:val="00FC5749"/>
    <w:rsid w:val="00FC5DDF"/>
    <w:rsid w:val="00FC65F4"/>
    <w:rsid w:val="00FD250A"/>
    <w:rsid w:val="00FD3066"/>
    <w:rsid w:val="00FD56C8"/>
    <w:rsid w:val="00FE2253"/>
    <w:rsid w:val="00FE367F"/>
    <w:rsid w:val="00FE39F0"/>
    <w:rsid w:val="00FF299A"/>
    <w:rsid w:val="00FF3203"/>
    <w:rsid w:val="00FF332B"/>
    <w:rsid w:val="00FF493B"/>
    <w:rsid w:val="00FF7423"/>
    <w:rsid w:val="00FF7711"/>
    <w:rsid w:val="00FF7B1A"/>
    <w:rsid w:val="0142245D"/>
    <w:rsid w:val="06537A61"/>
    <w:rsid w:val="083059FC"/>
    <w:rsid w:val="0BD205FF"/>
    <w:rsid w:val="0DCE186D"/>
    <w:rsid w:val="12466FB8"/>
    <w:rsid w:val="14DA305C"/>
    <w:rsid w:val="16EB5CDF"/>
    <w:rsid w:val="1C5C0EFB"/>
    <w:rsid w:val="1C992AC5"/>
    <w:rsid w:val="1E565D44"/>
    <w:rsid w:val="23BF6613"/>
    <w:rsid w:val="24625120"/>
    <w:rsid w:val="287A56FF"/>
    <w:rsid w:val="2BE42F94"/>
    <w:rsid w:val="2C7913DD"/>
    <w:rsid w:val="2C9333FC"/>
    <w:rsid w:val="2D96728D"/>
    <w:rsid w:val="2FDA6C0D"/>
    <w:rsid w:val="3B425E74"/>
    <w:rsid w:val="44E24EBA"/>
    <w:rsid w:val="48EF69E2"/>
    <w:rsid w:val="49101C0C"/>
    <w:rsid w:val="4B094683"/>
    <w:rsid w:val="4B4D2259"/>
    <w:rsid w:val="4E6E17A8"/>
    <w:rsid w:val="53B37769"/>
    <w:rsid w:val="54276FE3"/>
    <w:rsid w:val="5BFB1493"/>
    <w:rsid w:val="672D562C"/>
    <w:rsid w:val="6A94402F"/>
    <w:rsid w:val="6F352211"/>
    <w:rsid w:val="71151044"/>
    <w:rsid w:val="74516FA0"/>
    <w:rsid w:val="77A560B8"/>
    <w:rsid w:val="79E77D69"/>
    <w:rsid w:val="BFF11E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name="toc 2"/>
    <w:lsdException w:qFormat="1"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仿宋_GB2312"/>
      <w:b/>
      <w:bCs/>
      <w:kern w:val="44"/>
      <w:sz w:val="30"/>
      <w:szCs w:val="44"/>
    </w:rPr>
  </w:style>
  <w:style w:type="paragraph" w:styleId="3">
    <w:name w:val="heading 2"/>
    <w:basedOn w:val="1"/>
    <w:next w:val="1"/>
    <w:qFormat/>
    <w:uiPriority w:val="0"/>
    <w:pPr>
      <w:keepNext/>
      <w:keepLines/>
      <w:spacing w:line="360" w:lineRule="auto"/>
      <w:outlineLvl w:val="1"/>
    </w:pPr>
    <w:rPr>
      <w:rFonts w:ascii="Arial" w:hAnsi="Arial" w:eastAsia="仿宋_GB2312"/>
      <w:bCs/>
      <w:sz w:val="30"/>
      <w:szCs w:val="32"/>
    </w:rPr>
  </w:style>
  <w:style w:type="character" w:default="1" w:styleId="18">
    <w:name w:val="Default Paragraph Font"/>
    <w:semiHidden/>
    <w:uiPriority w:val="0"/>
  </w:style>
  <w:style w:type="table" w:default="1" w:styleId="22">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22"/>
      <w:tblCellMar>
        <w:top w:w="0" w:type="dxa"/>
        <w:left w:w="108" w:type="dxa"/>
        <w:bottom w:w="0" w:type="dxa"/>
        <w:right w:w="108" w:type="dxa"/>
      </w:tblCellMar>
    </w:tblPr>
  </w:style>
  <w:style w:type="paragraph" w:styleId="4">
    <w:name w:val="toc 7"/>
    <w:basedOn w:val="1"/>
    <w:next w:val="1"/>
    <w:semiHidden/>
    <w:uiPriority w:val="0"/>
    <w:pPr>
      <w:ind w:left="1050"/>
      <w:jc w:val="left"/>
    </w:pPr>
    <w:rPr>
      <w:sz w:val="20"/>
      <w:szCs w:val="20"/>
    </w:rPr>
  </w:style>
  <w:style w:type="paragraph" w:styleId="5">
    <w:name w:val="toc 5"/>
    <w:basedOn w:val="1"/>
    <w:next w:val="1"/>
    <w:semiHidden/>
    <w:uiPriority w:val="0"/>
    <w:pPr>
      <w:ind w:left="630"/>
      <w:jc w:val="left"/>
    </w:pPr>
    <w:rPr>
      <w:sz w:val="20"/>
      <w:szCs w:val="20"/>
    </w:rPr>
  </w:style>
  <w:style w:type="paragraph" w:styleId="6">
    <w:name w:val="toc 3"/>
    <w:basedOn w:val="1"/>
    <w:next w:val="1"/>
    <w:qFormat/>
    <w:uiPriority w:val="39"/>
    <w:pPr>
      <w:ind w:left="210"/>
      <w:jc w:val="left"/>
    </w:pPr>
    <w:rPr>
      <w:sz w:val="20"/>
      <w:szCs w:val="20"/>
    </w:rPr>
  </w:style>
  <w:style w:type="paragraph" w:styleId="7">
    <w:name w:val="toc 8"/>
    <w:basedOn w:val="1"/>
    <w:next w:val="1"/>
    <w:semiHidden/>
    <w:uiPriority w:val="0"/>
    <w:pPr>
      <w:ind w:left="1260"/>
      <w:jc w:val="left"/>
    </w:pPr>
    <w:rPr>
      <w:sz w:val="20"/>
      <w:szCs w:val="20"/>
    </w:rPr>
  </w:style>
  <w:style w:type="paragraph" w:styleId="8">
    <w:name w:val="Date"/>
    <w:basedOn w:val="1"/>
    <w:next w:val="1"/>
    <w:link w:val="35"/>
    <w:uiPriority w:val="0"/>
    <w:pPr>
      <w:ind w:left="100" w:leftChars="2500"/>
    </w:pPr>
  </w:style>
  <w:style w:type="paragraph" w:styleId="9">
    <w:name w:val="Balloon Text"/>
    <w:basedOn w:val="1"/>
    <w:link w:val="36"/>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link w:val="37"/>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jc w:val="left"/>
    </w:pPr>
    <w:rPr>
      <w:rFonts w:ascii="Arial" w:hAnsi="Arial" w:cs="Arial"/>
      <w:b/>
      <w:bCs/>
      <w:caps/>
      <w:sz w:val="24"/>
    </w:rPr>
  </w:style>
  <w:style w:type="paragraph" w:styleId="13">
    <w:name w:val="toc 4"/>
    <w:basedOn w:val="1"/>
    <w:next w:val="1"/>
    <w:semiHidden/>
    <w:uiPriority w:val="0"/>
    <w:pPr>
      <w:ind w:left="420"/>
      <w:jc w:val="left"/>
    </w:pPr>
    <w:rPr>
      <w:sz w:val="20"/>
      <w:szCs w:val="20"/>
    </w:rPr>
  </w:style>
  <w:style w:type="paragraph" w:styleId="14">
    <w:name w:val="toc 6"/>
    <w:basedOn w:val="1"/>
    <w:next w:val="1"/>
    <w:semiHidden/>
    <w:uiPriority w:val="0"/>
    <w:pPr>
      <w:ind w:left="840"/>
      <w:jc w:val="left"/>
    </w:pPr>
    <w:rPr>
      <w:sz w:val="20"/>
      <w:szCs w:val="20"/>
    </w:rPr>
  </w:style>
  <w:style w:type="paragraph" w:styleId="15">
    <w:name w:val="table of figures"/>
    <w:basedOn w:val="1"/>
    <w:next w:val="1"/>
    <w:uiPriority w:val="0"/>
    <w:pPr>
      <w:ind w:leftChars="200" w:hanging="200" w:hangingChars="200"/>
    </w:pPr>
  </w:style>
  <w:style w:type="paragraph" w:styleId="16">
    <w:name w:val="toc 2"/>
    <w:basedOn w:val="1"/>
    <w:next w:val="1"/>
    <w:semiHidden/>
    <w:qFormat/>
    <w:uiPriority w:val="39"/>
    <w:pPr>
      <w:spacing w:before="240"/>
      <w:jc w:val="left"/>
    </w:pPr>
    <w:rPr>
      <w:b/>
      <w:bCs/>
      <w:sz w:val="20"/>
      <w:szCs w:val="20"/>
    </w:rPr>
  </w:style>
  <w:style w:type="paragraph" w:styleId="17">
    <w:name w:val="toc 9"/>
    <w:basedOn w:val="1"/>
    <w:next w:val="1"/>
    <w:semiHidden/>
    <w:uiPriority w:val="0"/>
    <w:pPr>
      <w:ind w:left="1470"/>
      <w:jc w:val="left"/>
    </w:pPr>
    <w:rPr>
      <w:sz w:val="20"/>
      <w:szCs w:val="20"/>
    </w:rPr>
  </w:style>
  <w:style w:type="character" w:styleId="19">
    <w:name w:val="Strong"/>
    <w:qFormat/>
    <w:uiPriority w:val="0"/>
    <w:rPr>
      <w:b/>
      <w:bCs/>
    </w:rPr>
  </w:style>
  <w:style w:type="character" w:styleId="20">
    <w:name w:val="page number"/>
    <w:uiPriority w:val="0"/>
  </w:style>
  <w:style w:type="character" w:styleId="21">
    <w:name w:val="Hyperlink"/>
    <w:uiPriority w:val="99"/>
    <w:rPr>
      <w:color w:val="0000FF"/>
      <w:u w:val="single"/>
    </w:rPr>
  </w:style>
  <w:style w:type="table" w:styleId="23">
    <w:name w:val="Table Grid"/>
    <w:basedOn w:val="22"/>
    <w:uiPriority w:val="59"/>
    <w:rPr>
      <w:rFonts w:ascii="Calibri" w:hAnsi="Calibri" w:eastAsia="宋体" w:cs="Times New Roman"/>
      <w:kern w:val="2"/>
      <w:sz w:val="21"/>
      <w:szCs w:val="22"/>
    </w:rPr>
    <w:tblPr>
      <w:tblStyle w:val="2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4">
    <w:name w:val=""/>
    <w:basedOn w:val="2"/>
    <w:next w:val="1"/>
    <w:qFormat/>
    <w:uiPriority w:val="39"/>
    <w:pPr>
      <w:widowControl/>
      <w:spacing w:before="480" w:line="276" w:lineRule="auto"/>
      <w:jc w:val="left"/>
      <w:outlineLvl w:val="9"/>
    </w:pPr>
    <w:rPr>
      <w:rFonts w:ascii="Cambria" w:hAnsi="Cambria" w:eastAsia="宋体" w:cs="Times New Roman"/>
      <w:color w:val="365F91"/>
      <w:kern w:val="0"/>
      <w:sz w:val="28"/>
      <w:szCs w:val="28"/>
    </w:rPr>
  </w:style>
  <w:style w:type="paragraph" w:customStyle="1" w:styleId="25">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6">
    <w:name w:val="一级条标题"/>
    <w:next w:val="1"/>
    <w:uiPriority w:val="0"/>
    <w:pPr>
      <w:numPr>
        <w:ilvl w:val="1"/>
        <w:numId w:val="1"/>
      </w:numPr>
      <w:spacing w:before="156" w:beforeLines="50" w:after="156" w:afterLines="50"/>
      <w:outlineLvl w:val="2"/>
    </w:pPr>
    <w:rPr>
      <w:rFonts w:ascii="黑体" w:eastAsia="黑体"/>
      <w:sz w:val="21"/>
      <w:szCs w:val="21"/>
      <w:lang w:val="en-US" w:eastAsia="zh-CN" w:bidi="ar-SA"/>
    </w:rPr>
  </w:style>
  <w:style w:type="paragraph" w:customStyle="1" w:styleId="27">
    <w:name w:val="四级条标题"/>
    <w:basedOn w:val="1"/>
    <w:next w:val="1"/>
    <w:uiPriority w:val="0"/>
    <w:pPr>
      <w:widowControl/>
      <w:numPr>
        <w:ilvl w:val="4"/>
        <w:numId w:val="1"/>
      </w:numPr>
      <w:spacing w:before="50" w:beforeLines="50" w:after="50" w:afterLines="50"/>
      <w:jc w:val="left"/>
      <w:outlineLvl w:val="5"/>
    </w:pPr>
    <w:rPr>
      <w:rFonts w:ascii="黑体" w:eastAsia="黑体"/>
      <w:kern w:val="0"/>
      <w:szCs w:val="21"/>
    </w:rPr>
  </w:style>
  <w:style w:type="paragraph" w:customStyle="1" w:styleId="28">
    <w:name w:val="_Style 5"/>
    <w:basedOn w:val="1"/>
    <w:uiPriority w:val="0"/>
    <w:rPr>
      <w:rFonts w:ascii="仿宋_GB2312" w:eastAsia="仿宋_GB2312"/>
      <w:b/>
      <w:sz w:val="32"/>
      <w:szCs w:val="32"/>
    </w:rPr>
  </w:style>
  <w:style w:type="paragraph" w:customStyle="1" w:styleId="29">
    <w:name w:val="段"/>
    <w:uiPriority w:val="0"/>
    <w:pPr>
      <w:tabs>
        <w:tab w:val="center" w:pos="4201"/>
        <w:tab w:val="right" w:leader="dot" w:pos="9298"/>
      </w:tabs>
      <w:autoSpaceDE w:val="0"/>
      <w:autoSpaceDN w:val="0"/>
      <w:ind w:firstLine="420" w:firstLineChars="200"/>
      <w:jc w:val="both"/>
    </w:pPr>
    <w:rPr>
      <w:rFonts w:ascii="宋体" w:hAnsi="Times New Roman"/>
      <w:sz w:val="21"/>
      <w:lang w:val="en-US" w:eastAsia="zh-CN" w:bidi="ar-SA"/>
    </w:rPr>
  </w:style>
  <w:style w:type="paragraph" w:customStyle="1" w:styleId="30">
    <w:name w:val="五级条标题"/>
    <w:basedOn w:val="27"/>
    <w:next w:val="1"/>
    <w:uiPriority w:val="0"/>
    <w:pPr>
      <w:numPr>
        <w:ilvl w:val="5"/>
        <w:numId w:val="1"/>
      </w:numPr>
      <w:outlineLvl w:val="6"/>
    </w:pPr>
  </w:style>
  <w:style w:type="paragraph" w:customStyle="1" w:styleId="31">
    <w:name w:val="二级无"/>
    <w:basedOn w:val="32"/>
    <w:uiPriority w:val="0"/>
    <w:pPr>
      <w:numPr>
        <w:ilvl w:val="2"/>
      </w:numPr>
      <w:spacing w:before="0" w:beforeLines="0" w:after="0" w:afterLines="0"/>
    </w:pPr>
    <w:rPr>
      <w:rFonts w:ascii="宋体" w:eastAsia="宋体"/>
    </w:rPr>
  </w:style>
  <w:style w:type="paragraph" w:customStyle="1" w:styleId="32">
    <w:name w:val="二级条标题"/>
    <w:basedOn w:val="26"/>
    <w:next w:val="1"/>
    <w:uiPriority w:val="0"/>
    <w:pPr>
      <w:numPr>
        <w:ilvl w:val="2"/>
        <w:numId w:val="1"/>
      </w:numPr>
      <w:spacing w:before="50" w:after="50"/>
      <w:outlineLvl w:val="3"/>
    </w:pPr>
  </w:style>
  <w:style w:type="paragraph" w:customStyle="1" w:styleId="33">
    <w:name w:val="一级无"/>
    <w:basedOn w:val="26"/>
    <w:uiPriority w:val="0"/>
    <w:pPr>
      <w:spacing w:before="0" w:beforeLines="0" w:after="0" w:afterLines="0"/>
      <w:ind w:left="105"/>
    </w:pPr>
    <w:rPr>
      <w:rFonts w:ascii="宋体" w:eastAsia="宋体"/>
    </w:rPr>
  </w:style>
  <w:style w:type="paragraph" w:customStyle="1" w:styleId="34">
    <w:name w:val="章标题"/>
    <w:next w:val="1"/>
    <w:uiPriority w:val="0"/>
    <w:pPr>
      <w:numPr>
        <w:ilvl w:val="0"/>
        <w:numId w:val="1"/>
      </w:numPr>
      <w:spacing w:before="312" w:beforeLines="100" w:after="312" w:afterLines="100"/>
      <w:jc w:val="both"/>
      <w:outlineLvl w:val="1"/>
    </w:pPr>
    <w:rPr>
      <w:rFonts w:ascii="黑体" w:eastAsia="黑体"/>
      <w:sz w:val="21"/>
      <w:lang w:val="en-US" w:eastAsia="zh-CN" w:bidi="ar-SA"/>
    </w:rPr>
  </w:style>
  <w:style w:type="character" w:customStyle="1" w:styleId="35">
    <w:name w:val="日期 Char"/>
    <w:link w:val="8"/>
    <w:uiPriority w:val="0"/>
    <w:rPr>
      <w:kern w:val="2"/>
      <w:sz w:val="21"/>
      <w:szCs w:val="24"/>
    </w:rPr>
  </w:style>
  <w:style w:type="character" w:customStyle="1" w:styleId="36">
    <w:name w:val="批注框文本 Char"/>
    <w:link w:val="9"/>
    <w:uiPriority w:val="0"/>
    <w:rPr>
      <w:kern w:val="2"/>
      <w:sz w:val="18"/>
      <w:szCs w:val="18"/>
    </w:rPr>
  </w:style>
  <w:style w:type="character" w:customStyle="1" w:styleId="37">
    <w:name w:val="页眉 Char"/>
    <w:link w:val="11"/>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723</Words>
  <Characters>4123</Characters>
  <Lines>34</Lines>
  <Paragraphs>9</Paragraphs>
  <ScaleCrop>false</ScaleCrop>
  <LinksUpToDate>false</LinksUpToDate>
  <CharactersWithSpaces>4837</CharactersWithSpaces>
  <Application>WPS Office_3.9.0.6159_F1E327BC-269C-435d-A152-05C5408002CA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2018-06-29T15:44:00Z</dcterms:created>
  <dc:creator>匿名用户</dc:creator>
  <cp:lastModifiedBy>mengxin</cp:lastModifiedBy>
  <cp:lastPrinted>2018-04-27T09:18:00Z</cp:lastPrinted>
  <dcterms:modified xsi:type="dcterms:W3CDTF">2022-03-06T16:52:19Z</dcterms:modified>
  <dc:title>杭州市生活垃圾处置设施</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y fmtid="{D5CDD505-2E9C-101B-9397-08002B2CF9AE}" pid="3" name="ICV">
    <vt:lpwstr>FBDE00E1EA344E92911EEC0EA0BE8F68</vt:lpwstr>
  </property>
</Properties>
</file>